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  <w:r w:rsidRPr="00124020">
        <w:rPr>
          <w:b/>
          <w:sz w:val="28"/>
          <w:szCs w:val="28"/>
          <w:u w:val="single"/>
          <w:lang w:val="ro-RO"/>
        </w:rPr>
        <w:t xml:space="preserve">Tabel informativ cu amenzile aplicate în perioada 01.01.2021 – </w:t>
      </w:r>
      <w:r w:rsidR="0080204D">
        <w:rPr>
          <w:b/>
          <w:sz w:val="28"/>
          <w:szCs w:val="28"/>
          <w:u w:val="single"/>
          <w:lang w:val="ro-RO"/>
        </w:rPr>
        <w:t>31</w:t>
      </w:r>
      <w:r w:rsidRPr="00124020">
        <w:rPr>
          <w:b/>
          <w:sz w:val="28"/>
          <w:szCs w:val="28"/>
          <w:u w:val="single"/>
          <w:lang w:val="ro-RO"/>
        </w:rPr>
        <w:t>.12.2021</w:t>
      </w:r>
    </w:p>
    <w:tbl>
      <w:tblPr>
        <w:tblpPr w:leftFromText="180" w:rightFromText="180" w:vertAnchor="text" w:horzAnchor="margin" w:tblpX="392" w:tblpY="202"/>
        <w:tblW w:w="10173" w:type="dxa"/>
        <w:tblLook w:val="04A0"/>
      </w:tblPr>
      <w:tblGrid>
        <w:gridCol w:w="1880"/>
        <w:gridCol w:w="1300"/>
        <w:gridCol w:w="1200"/>
        <w:gridCol w:w="2220"/>
        <w:gridCol w:w="1180"/>
        <w:gridCol w:w="550"/>
        <w:gridCol w:w="1843"/>
      </w:tblGrid>
      <w:tr w:rsidR="006934BF" w:rsidRPr="00124020" w:rsidTr="009A6CE0">
        <w:trPr>
          <w:trHeight w:val="615"/>
        </w:trPr>
        <w:tc>
          <w:tcPr>
            <w:tcW w:w="1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NUME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Întocmit P.V.</w:t>
            </w: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934BF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Valoare</w:t>
            </w:r>
            <w:r w:rsidR="001A7739">
              <w:rPr>
                <w:rFonts w:eastAsia="Times New Roman" w:cs="Calibri"/>
                <w:b/>
                <w:bCs/>
                <w:color w:val="000000"/>
                <w:lang w:eastAsia="en-GB"/>
              </w:rPr>
              <w:t xml:space="preserve"> </w:t>
            </w:r>
          </w:p>
          <w:p w:rsidR="001A7739" w:rsidRPr="00124020" w:rsidRDefault="001A7739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>
              <w:rPr>
                <w:rFonts w:eastAsia="Times New Roman" w:cs="Calibri"/>
                <w:b/>
                <w:bCs/>
                <w:color w:val="000000"/>
                <w:lang w:eastAsia="en-GB"/>
              </w:rPr>
              <w:t>(RON)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Taxa de zi 10 ron / BUC</w:t>
            </w:r>
          </w:p>
        </w:tc>
        <w:tc>
          <w:tcPr>
            <w:tcW w:w="11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Valoare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TOTAL VALOARE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Balogh Lajos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59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11,700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315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3,150.00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15,165.00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Bonda Attila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18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2,750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318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3,180.00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6,248.00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Farago Csaba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160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16,750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16,750.00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Fazakas Sandor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120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10,900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600.00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11,560.00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Ferencz Jozsef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23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4,500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326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3,260.00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8,086.00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Gal Laszlo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47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10,400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6,050.00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17,055.00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Gal Zsuzsanna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31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3,600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266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2,660.00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6,526.00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Gyergyai Zsolt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30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6,600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501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5,010.00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12,111.00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Marti Gabor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39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6,800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476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4,760.00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12,036.00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Susarenco Viorel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137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18,300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610.00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18,971.00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Vajik Csaba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37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5,625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center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336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3,360.00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9,321.00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 </w:t>
            </w:r>
          </w:p>
        </w:tc>
      </w:tr>
      <w:tr w:rsidR="006934BF" w:rsidRPr="00124020" w:rsidTr="009A6CE0">
        <w:trPr>
          <w:trHeight w:val="315"/>
        </w:trPr>
        <w:tc>
          <w:tcPr>
            <w:tcW w:w="1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color w:val="000000"/>
                <w:lang w:eastAsia="en-GB"/>
              </w:rPr>
              <w:t>TOTAL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1A7739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701.00</w:t>
            </w: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97,925.00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:rsidR="006934BF" w:rsidRPr="00124020" w:rsidRDefault="006934BF" w:rsidP="001A7739">
            <w:pPr>
              <w:spacing w:after="0"/>
              <w:jc w:val="center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3,264.00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32,640.00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rPr>
                <w:rFonts w:eastAsia="Times New Roman" w:cs="Calibri"/>
                <w:color w:val="000000"/>
                <w:lang w:eastAsia="en-GB"/>
              </w:rPr>
            </w:pP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934BF" w:rsidRPr="00124020" w:rsidRDefault="006934BF" w:rsidP="009A6CE0">
            <w:pPr>
              <w:spacing w:after="0"/>
              <w:jc w:val="right"/>
              <w:rPr>
                <w:rFonts w:eastAsia="Times New Roman" w:cs="Calibri"/>
                <w:b/>
                <w:bCs/>
                <w:color w:val="000000"/>
                <w:lang w:eastAsia="en-GB"/>
              </w:rPr>
            </w:pPr>
            <w:r w:rsidRPr="00124020">
              <w:rPr>
                <w:rFonts w:eastAsia="Times New Roman" w:cs="Calibri"/>
                <w:b/>
                <w:bCs/>
                <w:color w:val="000000"/>
                <w:lang w:eastAsia="en-GB"/>
              </w:rPr>
              <w:t>133,829.00</w:t>
            </w:r>
          </w:p>
        </w:tc>
      </w:tr>
    </w:tbl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6934BF" w:rsidRDefault="006934BF" w:rsidP="009A6CE0">
      <w:pPr>
        <w:ind w:right="-369"/>
        <w:jc w:val="center"/>
        <w:rPr>
          <w:b/>
          <w:sz w:val="28"/>
          <w:szCs w:val="28"/>
          <w:u w:val="single"/>
          <w:lang w:val="ro-RO"/>
        </w:rPr>
      </w:pPr>
      <w:r w:rsidRPr="00124020">
        <w:rPr>
          <w:b/>
          <w:noProof/>
          <w:sz w:val="28"/>
          <w:szCs w:val="28"/>
          <w:u w:val="single"/>
          <w:lang w:val="en-GB" w:eastAsia="en-GB"/>
        </w:rPr>
        <w:drawing>
          <wp:inline distT="0" distB="0" distL="0" distR="0">
            <wp:extent cx="6678295" cy="3514725"/>
            <wp:effectExtent l="19050" t="0" r="27305" b="0"/>
            <wp:docPr id="2" name="Chart 2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200-00000A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6934BF" w:rsidRDefault="006934BF" w:rsidP="006934BF">
      <w:pPr>
        <w:ind w:left="-284"/>
        <w:jc w:val="center"/>
        <w:rPr>
          <w:b/>
          <w:sz w:val="28"/>
          <w:szCs w:val="28"/>
          <w:u w:val="single"/>
          <w:lang w:val="ro-RO"/>
        </w:rPr>
      </w:pPr>
      <w:r w:rsidRPr="00124020">
        <w:rPr>
          <w:b/>
          <w:noProof/>
          <w:sz w:val="28"/>
          <w:szCs w:val="28"/>
          <w:u w:val="single"/>
          <w:lang w:val="en-GB" w:eastAsia="en-GB"/>
        </w:rPr>
        <w:drawing>
          <wp:inline distT="0" distB="0" distL="0" distR="0">
            <wp:extent cx="6133465" cy="3733800"/>
            <wp:effectExtent l="19050" t="0" r="19685" b="0"/>
            <wp:docPr id="3" name="Chart 3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EC7CC98A-6D1E-4687-8354-F57AC50889B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tbl>
      <w:tblPr>
        <w:tblpPr w:leftFromText="180" w:rightFromText="180" w:vertAnchor="text" w:horzAnchor="margin" w:tblpX="250" w:tblpY="289"/>
        <w:tblW w:w="6171" w:type="dxa"/>
        <w:tblLook w:val="04A0"/>
      </w:tblPr>
      <w:tblGrid>
        <w:gridCol w:w="5211"/>
        <w:gridCol w:w="960"/>
      </w:tblGrid>
      <w:tr w:rsidR="001A7739" w:rsidRPr="004D1583" w:rsidTr="001A7739">
        <w:trPr>
          <w:trHeight w:val="315"/>
        </w:trPr>
        <w:tc>
          <w:tcPr>
            <w:tcW w:w="521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ind w:left="142"/>
              <w:jc w:val="center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Domeniu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Nr.   P.V.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Parcări neregulamentare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448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Ordine publică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23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Parcări cu plată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151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Parcări rezidențiale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56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Activitatea comercială și protecția mediului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10</w:t>
            </w:r>
          </w:p>
        </w:tc>
      </w:tr>
      <w:tr w:rsidR="001A7739" w:rsidRPr="004D1583" w:rsidTr="001A7739">
        <w:trPr>
          <w:trHeight w:val="300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Anulat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80204D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1</w:t>
            </w:r>
            <w:r w:rsidR="0080204D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3</w:t>
            </w:r>
          </w:p>
        </w:tc>
      </w:tr>
      <w:tr w:rsidR="001A7739" w:rsidRPr="004D1583" w:rsidTr="001A7739">
        <w:trPr>
          <w:trHeight w:val="315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color w:val="000000"/>
                <w:sz w:val="28"/>
                <w:szCs w:val="28"/>
                <w:lang w:val="en-GB" w:eastAsia="en-GB"/>
              </w:rPr>
              <w:t> </w:t>
            </w:r>
          </w:p>
        </w:tc>
      </w:tr>
      <w:tr w:rsidR="001A7739" w:rsidRPr="004D1583" w:rsidTr="001A7739">
        <w:trPr>
          <w:trHeight w:val="315"/>
        </w:trPr>
        <w:tc>
          <w:tcPr>
            <w:tcW w:w="52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A7739" w:rsidRPr="004D1583" w:rsidRDefault="001A7739" w:rsidP="001A7739">
            <w:pPr>
              <w:spacing w:after="0" w:line="240" w:lineRule="auto"/>
              <w:rPr>
                <w:rFonts w:eastAsia="Times New Roman" w:cs="Calibri"/>
                <w:b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b/>
                <w:color w:val="000000"/>
                <w:sz w:val="28"/>
                <w:szCs w:val="28"/>
                <w:lang w:val="en-GB" w:eastAsia="en-GB"/>
              </w:rPr>
              <w:t>TOTAL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A7739" w:rsidRPr="004D1583" w:rsidRDefault="001A7739" w:rsidP="0080204D">
            <w:pPr>
              <w:spacing w:after="0" w:line="240" w:lineRule="auto"/>
              <w:jc w:val="right"/>
              <w:rPr>
                <w:rFonts w:eastAsia="Times New Roman" w:cs="Calibri"/>
                <w:b/>
                <w:color w:val="000000"/>
                <w:sz w:val="28"/>
                <w:szCs w:val="28"/>
                <w:lang w:val="en-GB" w:eastAsia="en-GB"/>
              </w:rPr>
            </w:pPr>
            <w:r w:rsidRPr="004D1583">
              <w:rPr>
                <w:rFonts w:eastAsia="Times New Roman" w:cs="Calibri"/>
                <w:b/>
                <w:color w:val="000000"/>
                <w:sz w:val="28"/>
                <w:szCs w:val="28"/>
                <w:lang w:val="en-GB" w:eastAsia="en-GB"/>
              </w:rPr>
              <w:t>70</w:t>
            </w:r>
            <w:r w:rsidR="0080204D">
              <w:rPr>
                <w:rFonts w:eastAsia="Times New Roman" w:cs="Calibri"/>
                <w:b/>
                <w:color w:val="000000"/>
                <w:sz w:val="28"/>
                <w:szCs w:val="28"/>
                <w:lang w:val="en-GB" w:eastAsia="en-GB"/>
              </w:rPr>
              <w:t>1</w:t>
            </w:r>
          </w:p>
        </w:tc>
      </w:tr>
    </w:tbl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6934BF" w:rsidRDefault="006934BF" w:rsidP="006934BF">
      <w:pPr>
        <w:jc w:val="center"/>
        <w:rPr>
          <w:b/>
          <w:sz w:val="28"/>
          <w:szCs w:val="28"/>
          <w:u w:val="single"/>
          <w:lang w:val="ro-RO"/>
        </w:rPr>
      </w:pPr>
    </w:p>
    <w:p w:rsidR="001A7739" w:rsidRDefault="001A7739" w:rsidP="009C63EA">
      <w:pPr>
        <w:ind w:left="6480"/>
        <w:rPr>
          <w:sz w:val="28"/>
          <w:szCs w:val="28"/>
          <w:lang w:val="ro-RO"/>
        </w:rPr>
      </w:pPr>
    </w:p>
    <w:p w:rsidR="001A7739" w:rsidRDefault="001A7739" w:rsidP="009C63EA">
      <w:pPr>
        <w:ind w:left="6480"/>
        <w:rPr>
          <w:sz w:val="28"/>
          <w:szCs w:val="28"/>
          <w:lang w:val="ro-RO"/>
        </w:rPr>
      </w:pPr>
    </w:p>
    <w:p w:rsidR="001A7739" w:rsidRDefault="001A7739" w:rsidP="009C63EA">
      <w:pPr>
        <w:ind w:left="6480"/>
        <w:rPr>
          <w:sz w:val="28"/>
          <w:szCs w:val="28"/>
          <w:lang w:val="ro-RO"/>
        </w:rPr>
      </w:pPr>
    </w:p>
    <w:p w:rsidR="001A7739" w:rsidRDefault="001A7739" w:rsidP="009C63EA">
      <w:pPr>
        <w:ind w:left="6480"/>
        <w:rPr>
          <w:sz w:val="28"/>
          <w:szCs w:val="28"/>
          <w:lang w:val="ro-RO"/>
        </w:rPr>
      </w:pPr>
    </w:p>
    <w:p w:rsidR="009C63EA" w:rsidRDefault="001A7739" w:rsidP="009C63EA">
      <w:pPr>
        <w:ind w:left="6480"/>
        <w:rPr>
          <w:sz w:val="28"/>
          <w:szCs w:val="28"/>
          <w:lang w:val="ro-RO"/>
        </w:rPr>
      </w:pPr>
      <w:r>
        <w:rPr>
          <w:sz w:val="28"/>
          <w:szCs w:val="28"/>
          <w:lang w:val="ro-RO"/>
        </w:rPr>
        <w:t xml:space="preserve">               </w:t>
      </w:r>
      <w:r w:rsidR="009C63EA">
        <w:rPr>
          <w:sz w:val="28"/>
          <w:szCs w:val="28"/>
          <w:lang w:val="ro-RO"/>
        </w:rPr>
        <w:t>Director Executiv,</w:t>
      </w:r>
    </w:p>
    <w:p w:rsidR="00CA7688" w:rsidRDefault="009C63EA" w:rsidP="009C63EA"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</w:r>
      <w:r>
        <w:rPr>
          <w:sz w:val="28"/>
          <w:szCs w:val="28"/>
          <w:lang w:val="ro-RO"/>
        </w:rPr>
        <w:tab/>
        <w:t xml:space="preserve">          </w:t>
      </w:r>
      <w:r w:rsidR="001A7739">
        <w:rPr>
          <w:sz w:val="28"/>
          <w:szCs w:val="28"/>
          <w:lang w:val="ro-RO"/>
        </w:rPr>
        <w:t xml:space="preserve">               </w:t>
      </w:r>
      <w:r>
        <w:rPr>
          <w:sz w:val="28"/>
          <w:szCs w:val="28"/>
          <w:lang w:val="ro-RO"/>
        </w:rPr>
        <w:t>Croitoru Constantin</w:t>
      </w:r>
    </w:p>
    <w:sectPr w:rsidR="00CA7688" w:rsidSect="009A6CE0">
      <w:headerReference w:type="default" r:id="rId9"/>
      <w:footerReference w:type="default" r:id="rId10"/>
      <w:pgSz w:w="11909" w:h="16834" w:code="9"/>
      <w:pgMar w:top="1440" w:right="710" w:bottom="426" w:left="993" w:header="720" w:footer="36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268EA" w:rsidRDefault="00A268EA" w:rsidP="00CA7688">
      <w:pPr>
        <w:spacing w:after="0" w:line="240" w:lineRule="auto"/>
      </w:pPr>
      <w:r>
        <w:separator/>
      </w:r>
    </w:p>
  </w:endnote>
  <w:endnote w:type="continuationSeparator" w:id="1">
    <w:p w:rsidR="00A268EA" w:rsidRDefault="00A268EA" w:rsidP="00CA76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7D5758">
    <w:pPr>
      <w:pStyle w:val="Footer"/>
      <w:tabs>
        <w:tab w:val="clear" w:pos="4680"/>
        <w:tab w:val="clear" w:pos="9360"/>
        <w:tab w:val="left" w:pos="90"/>
        <w:tab w:val="left" w:pos="3015"/>
      </w:tabs>
    </w:pP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-1041400</wp:posOffset>
          </wp:positionH>
          <wp:positionV relativeFrom="paragraph">
            <wp:posOffset>-520700</wp:posOffset>
          </wp:positionV>
          <wp:extent cx="7252335" cy="1645920"/>
          <wp:effectExtent l="19050" t="0" r="5715" b="0"/>
          <wp:wrapNone/>
          <wp:docPr id="7" name="Picture 7" descr="also_intocmit nélkü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also_intocmit nélkü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52335" cy="16459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Pr="007D5758" w:rsidRDefault="007D5758" w:rsidP="00CA7688">
    <w:pPr>
      <w:pStyle w:val="Footer"/>
      <w:tabs>
        <w:tab w:val="clear" w:pos="4680"/>
        <w:tab w:val="clear" w:pos="9360"/>
        <w:tab w:val="left" w:pos="3015"/>
      </w:tabs>
      <w:rPr>
        <w:rFonts w:ascii="Cambria" w:hAnsi="Cambria"/>
        <w:sz w:val="24"/>
      </w:rPr>
    </w:pPr>
    <w:r w:rsidRPr="007D5758">
      <w:rPr>
        <w:rFonts w:ascii="Cambria" w:hAnsi="Cambria"/>
        <w:sz w:val="24"/>
      </w:rPr>
      <w:t xml:space="preserve">Întocmit de: </w:t>
    </w:r>
    <w:r w:rsidR="008847B2">
      <w:rPr>
        <w:rFonts w:ascii="Cambria" w:hAnsi="Cambria"/>
        <w:sz w:val="24"/>
        <w:lang w:val="ro-RO"/>
      </w:rPr>
      <w:t xml:space="preserve">Dir. Ex. Croitoru Constantin, </w:t>
    </w:r>
    <w:r w:rsidR="00393733">
      <w:rPr>
        <w:rFonts w:ascii="Cambria" w:hAnsi="Cambria"/>
        <w:sz w:val="24"/>
      </w:rPr>
      <w:t xml:space="preserve"> Pol</w:t>
    </w:r>
    <w:r w:rsidR="00393733">
      <w:rPr>
        <w:rFonts w:ascii="Cambria" w:hAnsi="Cambria"/>
        <w:sz w:val="24"/>
        <w:lang w:val="ro-RO"/>
      </w:rPr>
      <w:t xml:space="preserve">iția Locală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268EA" w:rsidRDefault="00A268EA" w:rsidP="00CA7688">
      <w:pPr>
        <w:spacing w:after="0" w:line="240" w:lineRule="auto"/>
      </w:pPr>
      <w:r>
        <w:separator/>
      </w:r>
    </w:p>
  </w:footnote>
  <w:footnote w:type="continuationSeparator" w:id="1">
    <w:p w:rsidR="00A268EA" w:rsidRDefault="00A268EA" w:rsidP="00CA76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84590B">
    <w:pPr>
      <w:pStyle w:val="Header"/>
      <w:tabs>
        <w:tab w:val="left" w:pos="90"/>
      </w:tabs>
      <w:ind w:right="29"/>
    </w:pPr>
    <w:r>
      <w:rPr>
        <w:noProof/>
        <w:lang w:val="en-GB" w:eastAsia="en-GB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-1073150</wp:posOffset>
          </wp:positionH>
          <wp:positionV relativeFrom="page">
            <wp:posOffset>161925</wp:posOffset>
          </wp:positionV>
          <wp:extent cx="7284085" cy="1652905"/>
          <wp:effectExtent l="19050" t="0" r="0" b="0"/>
          <wp:wrapNone/>
          <wp:docPr id="6" name="Picture 6" descr="KPH_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KPH_R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4085" cy="16529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7D5758" w:rsidRDefault="007D5758" w:rsidP="007D5758">
    <w:pPr>
      <w:pStyle w:val="Header"/>
    </w:pPr>
  </w:p>
  <w:p w:rsidR="007D5758" w:rsidRDefault="007D5758" w:rsidP="007D5758">
    <w:pPr>
      <w:pStyle w:val="Header"/>
      <w:rPr>
        <w:rFonts w:ascii="Cambria" w:hAnsi="Cambria"/>
        <w:sz w:val="24"/>
        <w:lang w:val="ro-RO"/>
      </w:rPr>
    </w:pPr>
    <w:r>
      <w:rPr>
        <w:rFonts w:ascii="Cambria" w:hAnsi="Cambria"/>
        <w:sz w:val="24"/>
      </w:rPr>
      <w:t>Nr.</w:t>
    </w:r>
    <w:r>
      <w:rPr>
        <w:rFonts w:ascii="Cambria" w:hAnsi="Cambria"/>
        <w:sz w:val="24"/>
        <w:lang w:val="ro-RO"/>
      </w:rPr>
      <w:t>: _____________/__________________</w:t>
    </w:r>
  </w:p>
  <w:p w:rsidR="00CA7688" w:rsidRDefault="00CA7688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18434"/>
  </w:hdrShapeDefaults>
  <w:footnotePr>
    <w:footnote w:id="0"/>
    <w:footnote w:id="1"/>
  </w:footnotePr>
  <w:endnotePr>
    <w:endnote w:id="0"/>
    <w:endnote w:id="1"/>
  </w:endnotePr>
  <w:compat/>
  <w:rsids>
    <w:rsidRoot w:val="00CA7688"/>
    <w:rsid w:val="00187B8C"/>
    <w:rsid w:val="001A7739"/>
    <w:rsid w:val="0025512E"/>
    <w:rsid w:val="002D2E04"/>
    <w:rsid w:val="00393733"/>
    <w:rsid w:val="003D2975"/>
    <w:rsid w:val="003D6117"/>
    <w:rsid w:val="004D1583"/>
    <w:rsid w:val="00564082"/>
    <w:rsid w:val="00583B82"/>
    <w:rsid w:val="005D5665"/>
    <w:rsid w:val="00667316"/>
    <w:rsid w:val="006934BF"/>
    <w:rsid w:val="007D0B36"/>
    <w:rsid w:val="007D5758"/>
    <w:rsid w:val="0080204D"/>
    <w:rsid w:val="00827AC8"/>
    <w:rsid w:val="0084590B"/>
    <w:rsid w:val="008700B6"/>
    <w:rsid w:val="008847B2"/>
    <w:rsid w:val="00886ABC"/>
    <w:rsid w:val="009427A2"/>
    <w:rsid w:val="00992CFC"/>
    <w:rsid w:val="009A0584"/>
    <w:rsid w:val="009A6CE0"/>
    <w:rsid w:val="009B642A"/>
    <w:rsid w:val="009C63EA"/>
    <w:rsid w:val="00A268EA"/>
    <w:rsid w:val="00AB3ED9"/>
    <w:rsid w:val="00AE488E"/>
    <w:rsid w:val="00B073C4"/>
    <w:rsid w:val="00B7002C"/>
    <w:rsid w:val="00BD7B5A"/>
    <w:rsid w:val="00C564C2"/>
    <w:rsid w:val="00CA7688"/>
    <w:rsid w:val="00CF246E"/>
    <w:rsid w:val="00D127CE"/>
    <w:rsid w:val="00D33F66"/>
    <w:rsid w:val="00DA3F43"/>
    <w:rsid w:val="00E1589D"/>
    <w:rsid w:val="00E84B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3B82"/>
    <w:pPr>
      <w:spacing w:after="160" w:line="259" w:lineRule="auto"/>
    </w:pPr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688"/>
  </w:style>
  <w:style w:type="paragraph" w:styleId="Footer">
    <w:name w:val="footer"/>
    <w:basedOn w:val="Normal"/>
    <w:link w:val="Foot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688"/>
  </w:style>
  <w:style w:type="paragraph" w:styleId="BalloonText">
    <w:name w:val="Balloon Text"/>
    <w:basedOn w:val="Normal"/>
    <w:link w:val="BalloonTextChar"/>
    <w:uiPriority w:val="99"/>
    <w:semiHidden/>
    <w:unhideWhenUsed/>
    <w:rsid w:val="00CA7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A768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94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-User\Desktop\PROCESE%20VERBALE%202021\Procese%20verbale%202021%20Politia%20Locala%20C.C_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-User\Desktop\PROCESE%20VERBALE%202021\Procese%20verbale%202021%20Politia%20Locala%20C.C_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chart>
    <c:title>
      <c:tx>
        <c:rich>
          <a:bodyPr rot="0" spcFirstLastPara="1" vertOverflow="ellipsis" vert="horz" wrap="square" anchor="ctr" anchorCtr="1"/>
          <a:lstStyle/>
          <a:p>
            <a:pPr>
              <a:defRPr lang="en-US"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 b="1"/>
              <a:t>Procese verbale</a:t>
            </a:r>
            <a:endParaRPr lang="en-GB" b="1"/>
          </a:p>
        </c:rich>
      </c:tx>
      <c:layout>
        <c:manualLayout>
          <c:xMode val="edge"/>
          <c:yMode val="edge"/>
          <c:x val="0.38521510112440943"/>
          <c:y val="1.7353583127762494E-2"/>
        </c:manualLayout>
      </c:layout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1305008748906388"/>
          <c:y val="0.15147488342699131"/>
          <c:w val="0.76837218534348084"/>
          <c:h val="0.60671619952061306"/>
        </c:manualLayout>
      </c:layout>
      <c:barChart>
        <c:barDir val="col"/>
        <c:grouping val="clustered"/>
        <c:ser>
          <c:idx val="0"/>
          <c:order val="0"/>
          <c:tx>
            <c:v>Nr. PV</c:v>
          </c:tx>
          <c:spPr>
            <a:solidFill>
              <a:schemeClr val="accent1"/>
            </a:solidFill>
            <a:ln>
              <a:noFill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en-US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Sheet1!$C$11:$C$21</c:f>
              <c:strCache>
                <c:ptCount val="11"/>
                <c:pt idx="0">
                  <c:v>Balogh Lajos</c:v>
                </c:pt>
                <c:pt idx="1">
                  <c:v>Bonda Attila</c:v>
                </c:pt>
                <c:pt idx="2">
                  <c:v>Farago Csaba</c:v>
                </c:pt>
                <c:pt idx="3">
                  <c:v>Fazakas Sandor</c:v>
                </c:pt>
                <c:pt idx="4">
                  <c:v>Ferencz Jozsef</c:v>
                </c:pt>
                <c:pt idx="5">
                  <c:v>Gal Laszlo</c:v>
                </c:pt>
                <c:pt idx="6">
                  <c:v>Gal Zsuzsanna</c:v>
                </c:pt>
                <c:pt idx="7">
                  <c:v>Gyergyai Zsolt</c:v>
                </c:pt>
                <c:pt idx="8">
                  <c:v>Marti Gabor</c:v>
                </c:pt>
                <c:pt idx="9">
                  <c:v>Susarenco Viorel</c:v>
                </c:pt>
                <c:pt idx="10">
                  <c:v>Vajik Csaba</c:v>
                </c:pt>
              </c:strCache>
            </c:strRef>
          </c:cat>
          <c:val>
            <c:numRef>
              <c:f>Sheet1!$D$11:$D$21</c:f>
              <c:numCache>
                <c:formatCode>General</c:formatCode>
                <c:ptCount val="11"/>
                <c:pt idx="0">
                  <c:v>59</c:v>
                </c:pt>
                <c:pt idx="1">
                  <c:v>18</c:v>
                </c:pt>
                <c:pt idx="2">
                  <c:v>160</c:v>
                </c:pt>
                <c:pt idx="3">
                  <c:v>120</c:v>
                </c:pt>
                <c:pt idx="4">
                  <c:v>23</c:v>
                </c:pt>
                <c:pt idx="5">
                  <c:v>47</c:v>
                </c:pt>
                <c:pt idx="6">
                  <c:v>31</c:v>
                </c:pt>
                <c:pt idx="7">
                  <c:v>30</c:v>
                </c:pt>
                <c:pt idx="8">
                  <c:v>39</c:v>
                </c:pt>
                <c:pt idx="9">
                  <c:v>137</c:v>
                </c:pt>
                <c:pt idx="10">
                  <c:v>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A729-4018-8D03-2E3F5D7134AA}"/>
            </c:ext>
          </c:extLst>
        </c:ser>
        <c:ser>
          <c:idx val="1"/>
          <c:order val="1"/>
          <c:tx>
            <c:v>Valoare PV</c:v>
          </c:tx>
          <c:spPr>
            <a:solidFill>
              <a:schemeClr val="accent2"/>
            </a:solidFill>
            <a:ln>
              <a:noFill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en-US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Sheet1!$C$11:$C$21</c:f>
              <c:strCache>
                <c:ptCount val="11"/>
                <c:pt idx="0">
                  <c:v>Balogh Lajos</c:v>
                </c:pt>
                <c:pt idx="1">
                  <c:v>Bonda Attila</c:v>
                </c:pt>
                <c:pt idx="2">
                  <c:v>Farago Csaba</c:v>
                </c:pt>
                <c:pt idx="3">
                  <c:v>Fazakas Sandor</c:v>
                </c:pt>
                <c:pt idx="4">
                  <c:v>Ferencz Jozsef</c:v>
                </c:pt>
                <c:pt idx="5">
                  <c:v>Gal Laszlo</c:v>
                </c:pt>
                <c:pt idx="6">
                  <c:v>Gal Zsuzsanna</c:v>
                </c:pt>
                <c:pt idx="7">
                  <c:v>Gyergyai Zsolt</c:v>
                </c:pt>
                <c:pt idx="8">
                  <c:v>Marti Gabor</c:v>
                </c:pt>
                <c:pt idx="9">
                  <c:v>Susarenco Viorel</c:v>
                </c:pt>
                <c:pt idx="10">
                  <c:v>Vajik Csaba</c:v>
                </c:pt>
              </c:strCache>
            </c:strRef>
          </c:cat>
          <c:val>
            <c:numRef>
              <c:f>Sheet1!$E$11:$E$21</c:f>
              <c:numCache>
                <c:formatCode>#,##0</c:formatCode>
                <c:ptCount val="11"/>
                <c:pt idx="0">
                  <c:v>11700</c:v>
                </c:pt>
                <c:pt idx="1">
                  <c:v>2750</c:v>
                </c:pt>
                <c:pt idx="2">
                  <c:v>16750</c:v>
                </c:pt>
                <c:pt idx="3">
                  <c:v>10900</c:v>
                </c:pt>
                <c:pt idx="4">
                  <c:v>4500</c:v>
                </c:pt>
                <c:pt idx="5">
                  <c:v>10400</c:v>
                </c:pt>
                <c:pt idx="6">
                  <c:v>3600</c:v>
                </c:pt>
                <c:pt idx="7">
                  <c:v>6600</c:v>
                </c:pt>
                <c:pt idx="8">
                  <c:v>6800</c:v>
                </c:pt>
                <c:pt idx="9">
                  <c:v>18300</c:v>
                </c:pt>
                <c:pt idx="10">
                  <c:v>5625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A729-4018-8D03-2E3F5D7134AA}"/>
            </c:ext>
          </c:extLst>
        </c:ser>
        <c:dLbls>
          <c:showVal val="1"/>
        </c:dLbls>
        <c:gapWidth val="219"/>
        <c:overlap val="-27"/>
        <c:axId val="71966080"/>
        <c:axId val="71967872"/>
      </c:barChart>
      <c:catAx>
        <c:axId val="71966080"/>
        <c:scaling>
          <c:orientation val="minMax"/>
        </c:scaling>
        <c:axPos val="b"/>
        <c:numFmt formatCode="General" sourceLinked="0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1967872"/>
        <c:crosses val="autoZero"/>
        <c:auto val="1"/>
        <c:lblAlgn val="ctr"/>
        <c:lblOffset val="100"/>
      </c:catAx>
      <c:valAx>
        <c:axId val="71967872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1966080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dTable>
      <c:spPr>
        <a:noFill/>
        <a:ln>
          <a:noFill/>
        </a:ln>
        <a:effectLst/>
      </c:spPr>
    </c:plotArea>
    <c:legend>
      <c:legendPos val="r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</c:chart>
  <c:spPr>
    <a:gradFill>
      <a:gsLst>
        <a:gs pos="0">
          <a:schemeClr val="accent1">
            <a:lumMod val="5000"/>
            <a:lumOff val="95000"/>
          </a:schemeClr>
        </a:gs>
        <a:gs pos="46000">
          <a:schemeClr val="accent1">
            <a:lumMod val="45000"/>
            <a:lumOff val="55000"/>
          </a:schemeClr>
        </a:gs>
        <a:gs pos="76000">
          <a:schemeClr val="accent1">
            <a:lumMod val="45000"/>
            <a:lumOff val="55000"/>
          </a:schemeClr>
        </a:gs>
        <a:gs pos="100000">
          <a:schemeClr val="accent1">
            <a:lumMod val="30000"/>
            <a:lumOff val="70000"/>
          </a:schemeClr>
        </a:gs>
      </a:gsLst>
      <a:lin ang="5400000" scaled="1"/>
    </a:gra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chart>
    <c:title>
      <c:tx>
        <c:rich>
          <a:bodyPr rot="0" spcFirstLastPara="1" vertOverflow="ellipsis" vert="horz" wrap="square" anchor="ctr" anchorCtr="1"/>
          <a:lstStyle/>
          <a:p>
            <a:pPr>
              <a:defRPr lang="en-US" sz="180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Taxe de zi 10 ron/buc.</a:t>
            </a:r>
            <a:endParaRPr lang="en-GB"/>
          </a:p>
        </c:rich>
      </c:tx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11641025109015521"/>
          <c:y val="0.13305571836977137"/>
          <c:w val="0.88183305150097369"/>
          <c:h val="0.64187669700521532"/>
        </c:manualLayout>
      </c:layout>
      <c:barChart>
        <c:barDir val="col"/>
        <c:grouping val="clustered"/>
        <c:ser>
          <c:idx val="0"/>
          <c:order val="0"/>
          <c:spPr>
            <a:pattFill prst="narHorz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en-US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Sheet1!$C$11:$C$21</c:f>
              <c:strCache>
                <c:ptCount val="11"/>
                <c:pt idx="0">
                  <c:v>Balogh Lajos</c:v>
                </c:pt>
                <c:pt idx="1">
                  <c:v>Bonda Attila</c:v>
                </c:pt>
                <c:pt idx="2">
                  <c:v>Farago Csaba</c:v>
                </c:pt>
                <c:pt idx="3">
                  <c:v>Fazakas Sandor</c:v>
                </c:pt>
                <c:pt idx="4">
                  <c:v>Ferencz Jozsef</c:v>
                </c:pt>
                <c:pt idx="5">
                  <c:v>Gal Laszlo</c:v>
                </c:pt>
                <c:pt idx="6">
                  <c:v>Gal Zsuzsanna</c:v>
                </c:pt>
                <c:pt idx="7">
                  <c:v>Gyergyai Zsolt</c:v>
                </c:pt>
                <c:pt idx="8">
                  <c:v>Marti Gabor</c:v>
                </c:pt>
                <c:pt idx="9">
                  <c:v>Susarenco Viorel</c:v>
                </c:pt>
                <c:pt idx="10">
                  <c:v>Vajik Csaba</c:v>
                </c:pt>
              </c:strCache>
            </c:strRef>
          </c:cat>
          <c:val>
            <c:numRef>
              <c:f>Sheet1!$F$11:$F$21</c:f>
              <c:numCache>
                <c:formatCode>General</c:formatCode>
                <c:ptCount val="11"/>
                <c:pt idx="0">
                  <c:v>315</c:v>
                </c:pt>
                <c:pt idx="1">
                  <c:v>318</c:v>
                </c:pt>
                <c:pt idx="2">
                  <c:v>0</c:v>
                </c:pt>
                <c:pt idx="3">
                  <c:v>60</c:v>
                </c:pt>
                <c:pt idx="4">
                  <c:v>326</c:v>
                </c:pt>
                <c:pt idx="5">
                  <c:v>605</c:v>
                </c:pt>
                <c:pt idx="6">
                  <c:v>266</c:v>
                </c:pt>
                <c:pt idx="7">
                  <c:v>501</c:v>
                </c:pt>
                <c:pt idx="8">
                  <c:v>476</c:v>
                </c:pt>
                <c:pt idx="9">
                  <c:v>61</c:v>
                </c:pt>
                <c:pt idx="10">
                  <c:v>336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A91-442B-8152-6A09302EEE26}"/>
            </c:ext>
          </c:extLst>
        </c:ser>
        <c:ser>
          <c:idx val="1"/>
          <c:order val="1"/>
          <c:spPr>
            <a:pattFill prst="narHorz">
              <a:fgClr>
                <a:schemeClr val="accent2"/>
              </a:fgClr>
              <a:bgClr>
                <a:schemeClr val="accent2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2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en-US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Sheet1!$C$11:$C$21</c:f>
              <c:strCache>
                <c:ptCount val="11"/>
                <c:pt idx="0">
                  <c:v>Balogh Lajos</c:v>
                </c:pt>
                <c:pt idx="1">
                  <c:v>Bonda Attila</c:v>
                </c:pt>
                <c:pt idx="2">
                  <c:v>Farago Csaba</c:v>
                </c:pt>
                <c:pt idx="3">
                  <c:v>Fazakas Sandor</c:v>
                </c:pt>
                <c:pt idx="4">
                  <c:v>Ferencz Jozsef</c:v>
                </c:pt>
                <c:pt idx="5">
                  <c:v>Gal Laszlo</c:v>
                </c:pt>
                <c:pt idx="6">
                  <c:v>Gal Zsuzsanna</c:v>
                </c:pt>
                <c:pt idx="7">
                  <c:v>Gyergyai Zsolt</c:v>
                </c:pt>
                <c:pt idx="8">
                  <c:v>Marti Gabor</c:v>
                </c:pt>
                <c:pt idx="9">
                  <c:v>Susarenco Viorel</c:v>
                </c:pt>
                <c:pt idx="10">
                  <c:v>Vajik Csaba</c:v>
                </c:pt>
              </c:strCache>
            </c:strRef>
          </c:cat>
          <c:val>
            <c:numRef>
              <c:f>Sheet1!$G$11:$G$21</c:f>
              <c:numCache>
                <c:formatCode>#,##0.00</c:formatCode>
                <c:ptCount val="11"/>
                <c:pt idx="0">
                  <c:v>3150</c:v>
                </c:pt>
                <c:pt idx="1">
                  <c:v>3180</c:v>
                </c:pt>
                <c:pt idx="2">
                  <c:v>0</c:v>
                </c:pt>
                <c:pt idx="3">
                  <c:v>600</c:v>
                </c:pt>
                <c:pt idx="4">
                  <c:v>3260</c:v>
                </c:pt>
                <c:pt idx="5">
                  <c:v>6050</c:v>
                </c:pt>
                <c:pt idx="6">
                  <c:v>2660</c:v>
                </c:pt>
                <c:pt idx="7">
                  <c:v>5010</c:v>
                </c:pt>
                <c:pt idx="8">
                  <c:v>4760</c:v>
                </c:pt>
                <c:pt idx="9">
                  <c:v>610</c:v>
                </c:pt>
                <c:pt idx="10">
                  <c:v>3360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A91-442B-8152-6A09302EEE26}"/>
            </c:ext>
          </c:extLst>
        </c:ser>
        <c:dLbls>
          <c:showVal val="1"/>
        </c:dLbls>
        <c:gapWidth val="164"/>
        <c:overlap val="-22"/>
        <c:axId val="72089984"/>
        <c:axId val="72091520"/>
      </c:barChart>
      <c:catAx>
        <c:axId val="7208998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091520"/>
        <c:crosses val="autoZero"/>
        <c:auto val="1"/>
        <c:lblAlgn val="ctr"/>
        <c:lblOffset val="100"/>
      </c:catAx>
      <c:valAx>
        <c:axId val="72091520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089984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25400">
            <a:noFill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</c:dTable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80537347160210415"/>
          <c:y val="0.10875863731319299"/>
          <c:w val="0.18022504408193443"/>
          <c:h val="5.7398360919170908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accent4">
        <a:lumMod val="20000"/>
        <a:lumOff val="80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0913F-4546-4A70-B803-5423F43C61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Menessy Kinga</dc:creator>
  <cp:lastModifiedBy>Politia Locala</cp:lastModifiedBy>
  <cp:revision>11</cp:revision>
  <cp:lastPrinted>2019-01-03T08:56:00Z</cp:lastPrinted>
  <dcterms:created xsi:type="dcterms:W3CDTF">2019-09-23T10:47:00Z</dcterms:created>
  <dcterms:modified xsi:type="dcterms:W3CDTF">2022-02-15T06:58:00Z</dcterms:modified>
</cp:coreProperties>
</file>