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drawings/drawing1.xml" ContentType="application/vnd.openxmlformats-officedocument.drawingml.chartshapes+xml"/>
  <Override PartName="/word/drawings/drawing2.xml" ContentType="application/vnd.openxmlformats-officedocument.drawingml.chartshap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56E11" w:rsidRPr="00205D3F" w:rsidRDefault="00EE01F2" w:rsidP="00205D3F">
      <w:pPr>
        <w:jc w:val="center"/>
        <w:rPr>
          <w:rFonts w:ascii="Times New Roman" w:hAnsi="Times New Roman"/>
          <w:b/>
          <w:sz w:val="32"/>
          <w:szCs w:val="32"/>
          <w:u w:val="single"/>
          <w:lang w:val="ro-RO"/>
        </w:rPr>
      </w:pPr>
      <w:r>
        <w:rPr>
          <w:rFonts w:ascii="Times New Roman" w:hAnsi="Times New Roman"/>
          <w:b/>
          <w:sz w:val="32"/>
          <w:szCs w:val="32"/>
          <w:u w:val="single"/>
          <w:lang w:val="ro-RO"/>
        </w:rPr>
        <w:t xml:space="preserve">Încasări parcometre 01 </w:t>
      </w:r>
      <w:r w:rsidR="00FD73D5">
        <w:rPr>
          <w:rFonts w:ascii="Times New Roman" w:hAnsi="Times New Roman"/>
          <w:b/>
          <w:sz w:val="32"/>
          <w:szCs w:val="32"/>
          <w:u w:val="single"/>
          <w:lang w:val="ro-RO"/>
        </w:rPr>
        <w:t>Ianuarie</w:t>
      </w:r>
      <w:r>
        <w:rPr>
          <w:rFonts w:ascii="Times New Roman" w:hAnsi="Times New Roman"/>
          <w:b/>
          <w:sz w:val="32"/>
          <w:szCs w:val="32"/>
          <w:u w:val="single"/>
          <w:lang w:val="ro-RO"/>
        </w:rPr>
        <w:t xml:space="preserve"> 20</w:t>
      </w:r>
      <w:r w:rsidR="00523A3E">
        <w:rPr>
          <w:rFonts w:ascii="Times New Roman" w:hAnsi="Times New Roman"/>
          <w:b/>
          <w:sz w:val="32"/>
          <w:szCs w:val="32"/>
          <w:u w:val="single"/>
          <w:lang w:val="ro-RO"/>
        </w:rPr>
        <w:t>2</w:t>
      </w:r>
      <w:r w:rsidR="00E01383">
        <w:rPr>
          <w:rFonts w:ascii="Times New Roman" w:hAnsi="Times New Roman"/>
          <w:b/>
          <w:sz w:val="32"/>
          <w:szCs w:val="32"/>
          <w:u w:val="single"/>
          <w:lang w:val="ro-RO"/>
        </w:rPr>
        <w:t>1</w:t>
      </w:r>
      <w:r>
        <w:rPr>
          <w:rFonts w:ascii="Times New Roman" w:hAnsi="Times New Roman"/>
          <w:b/>
          <w:sz w:val="32"/>
          <w:szCs w:val="32"/>
          <w:u w:val="single"/>
          <w:lang w:val="ro-RO"/>
        </w:rPr>
        <w:t xml:space="preserve"> – </w:t>
      </w:r>
      <w:r w:rsidR="006E7A59">
        <w:rPr>
          <w:rFonts w:ascii="Times New Roman" w:hAnsi="Times New Roman"/>
          <w:b/>
          <w:sz w:val="32"/>
          <w:szCs w:val="32"/>
          <w:u w:val="single"/>
          <w:lang w:val="ro-RO"/>
        </w:rPr>
        <w:t>3</w:t>
      </w:r>
      <w:r w:rsidR="001760FA">
        <w:rPr>
          <w:rFonts w:ascii="Times New Roman" w:hAnsi="Times New Roman"/>
          <w:b/>
          <w:sz w:val="32"/>
          <w:szCs w:val="32"/>
          <w:u w:val="single"/>
          <w:lang w:val="ro-RO"/>
        </w:rPr>
        <w:t>1</w:t>
      </w:r>
      <w:r w:rsidR="007315DC">
        <w:rPr>
          <w:rFonts w:ascii="Times New Roman" w:hAnsi="Times New Roman"/>
          <w:b/>
          <w:sz w:val="32"/>
          <w:szCs w:val="32"/>
          <w:u w:val="single"/>
          <w:lang w:val="ro-RO"/>
        </w:rPr>
        <w:t xml:space="preserve"> </w:t>
      </w:r>
      <w:r w:rsidR="001760FA">
        <w:rPr>
          <w:rFonts w:ascii="Times New Roman" w:hAnsi="Times New Roman"/>
          <w:b/>
          <w:sz w:val="32"/>
          <w:szCs w:val="32"/>
          <w:u w:val="single"/>
          <w:lang w:val="ro-RO"/>
        </w:rPr>
        <w:t>Decembrie</w:t>
      </w:r>
      <w:r>
        <w:rPr>
          <w:rFonts w:ascii="Times New Roman" w:hAnsi="Times New Roman"/>
          <w:b/>
          <w:sz w:val="32"/>
          <w:szCs w:val="32"/>
          <w:u w:val="single"/>
          <w:lang w:val="ro-RO"/>
        </w:rPr>
        <w:t xml:space="preserve"> 20</w:t>
      </w:r>
      <w:r w:rsidR="00523A3E">
        <w:rPr>
          <w:rFonts w:ascii="Times New Roman" w:hAnsi="Times New Roman"/>
          <w:b/>
          <w:sz w:val="32"/>
          <w:szCs w:val="32"/>
          <w:u w:val="single"/>
          <w:lang w:val="ro-RO"/>
        </w:rPr>
        <w:t>2</w:t>
      </w:r>
      <w:r w:rsidR="00E01383">
        <w:rPr>
          <w:rFonts w:ascii="Times New Roman" w:hAnsi="Times New Roman"/>
          <w:b/>
          <w:sz w:val="32"/>
          <w:szCs w:val="32"/>
          <w:u w:val="single"/>
          <w:lang w:val="ro-RO"/>
        </w:rPr>
        <w:t>1</w:t>
      </w:r>
    </w:p>
    <w:tbl>
      <w:tblPr>
        <w:tblW w:w="9792" w:type="dxa"/>
        <w:tblInd w:w="-176" w:type="dxa"/>
        <w:tblLayout w:type="fixed"/>
        <w:tblLook w:val="04A0"/>
      </w:tblPr>
      <w:tblGrid>
        <w:gridCol w:w="1343"/>
        <w:gridCol w:w="1209"/>
        <w:gridCol w:w="1134"/>
        <w:gridCol w:w="1276"/>
        <w:gridCol w:w="1134"/>
        <w:gridCol w:w="1134"/>
        <w:gridCol w:w="1107"/>
        <w:gridCol w:w="236"/>
        <w:gridCol w:w="1219"/>
      </w:tblGrid>
      <w:tr w:rsidR="001760FA" w:rsidRPr="001760FA" w:rsidTr="00AA0913">
        <w:trPr>
          <w:trHeight w:val="615"/>
        </w:trPr>
        <w:tc>
          <w:tcPr>
            <w:tcW w:w="134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760FA" w:rsidRPr="001760FA" w:rsidRDefault="001760FA" w:rsidP="001760FA">
            <w:pPr>
              <w:spacing w:after="0" w:line="240" w:lineRule="auto"/>
              <w:ind w:left="307" w:hanging="307"/>
              <w:jc w:val="center"/>
              <w:rPr>
                <w:rFonts w:eastAsia="Times New Roman" w:cs="Calibri"/>
                <w:b/>
                <w:bCs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b/>
                <w:bCs/>
                <w:color w:val="000000"/>
                <w:lang w:val="en-GB" w:eastAsia="en-GB"/>
              </w:rPr>
              <w:t>LUNA</w:t>
            </w:r>
          </w:p>
        </w:tc>
        <w:tc>
          <w:tcPr>
            <w:tcW w:w="1209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1760FA" w:rsidRPr="001760FA" w:rsidRDefault="001760FA" w:rsidP="001760FA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b/>
                <w:bCs/>
                <w:color w:val="000000"/>
                <w:lang w:val="en-GB" w:eastAsia="en-GB"/>
              </w:rPr>
              <w:t>Abonament de parcare</w:t>
            </w:r>
          </w:p>
        </w:tc>
        <w:tc>
          <w:tcPr>
            <w:tcW w:w="113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760FA" w:rsidRPr="001760FA" w:rsidRDefault="001760FA" w:rsidP="001760FA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b/>
                <w:bCs/>
                <w:color w:val="000000"/>
                <w:lang w:val="en-GB" w:eastAsia="en-GB"/>
              </w:rPr>
              <w:t>Permis de parc. Cu Rez. Loc.</w:t>
            </w:r>
          </w:p>
        </w:tc>
        <w:tc>
          <w:tcPr>
            <w:tcW w:w="1276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1760FA" w:rsidRPr="001760FA" w:rsidRDefault="001760FA" w:rsidP="001760FA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b/>
                <w:bCs/>
                <w:color w:val="000000"/>
                <w:lang w:val="en-GB" w:eastAsia="en-GB"/>
              </w:rPr>
              <w:t>Tichete de parcare</w:t>
            </w:r>
          </w:p>
        </w:tc>
        <w:tc>
          <w:tcPr>
            <w:tcW w:w="113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760FA" w:rsidRPr="001760FA" w:rsidRDefault="001760FA" w:rsidP="001760FA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b/>
                <w:bCs/>
                <w:color w:val="000000"/>
                <w:lang w:val="en-GB" w:eastAsia="en-GB"/>
              </w:rPr>
              <w:t>Taxa de zi</w:t>
            </w:r>
          </w:p>
        </w:tc>
        <w:tc>
          <w:tcPr>
            <w:tcW w:w="113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1760FA" w:rsidRPr="001760FA" w:rsidRDefault="001760FA" w:rsidP="001760FA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b/>
                <w:bCs/>
                <w:color w:val="000000"/>
                <w:lang w:val="en-GB" w:eastAsia="en-GB"/>
              </w:rPr>
              <w:t>Întocmit P.V.</w:t>
            </w:r>
          </w:p>
        </w:tc>
        <w:tc>
          <w:tcPr>
            <w:tcW w:w="110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760FA" w:rsidRPr="001760FA" w:rsidRDefault="001760FA" w:rsidP="001760FA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b/>
                <w:bCs/>
                <w:color w:val="000000"/>
                <w:lang w:val="en-GB" w:eastAsia="en-GB"/>
              </w:rPr>
              <w:t>Servicii Tpark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val="en-GB" w:eastAsia="en-GB"/>
              </w:rPr>
            </w:pPr>
          </w:p>
        </w:tc>
        <w:tc>
          <w:tcPr>
            <w:tcW w:w="121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760FA" w:rsidRPr="001760FA" w:rsidRDefault="001760FA" w:rsidP="001760FA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b/>
                <w:bCs/>
                <w:color w:val="000000"/>
                <w:lang w:val="en-GB" w:eastAsia="en-GB"/>
              </w:rPr>
              <w:t>TOTAL</w:t>
            </w:r>
          </w:p>
        </w:tc>
      </w:tr>
      <w:tr w:rsidR="001760FA" w:rsidRPr="001760FA" w:rsidTr="00AA0913">
        <w:trPr>
          <w:trHeight w:val="315"/>
        </w:trPr>
        <w:tc>
          <w:tcPr>
            <w:tcW w:w="134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 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 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 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 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 </w:t>
            </w:r>
          </w:p>
        </w:tc>
        <w:tc>
          <w:tcPr>
            <w:tcW w:w="110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rPr>
                <w:rFonts w:eastAsia="Times New Roman" w:cs="Calibri"/>
                <w:color w:val="000000"/>
                <w:lang w:val="en-GB" w:eastAsia="en-GB"/>
              </w:rPr>
            </w:pPr>
          </w:p>
        </w:tc>
        <w:tc>
          <w:tcPr>
            <w:tcW w:w="121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 </w:t>
            </w:r>
          </w:p>
        </w:tc>
      </w:tr>
      <w:tr w:rsidR="001760FA" w:rsidRPr="001760FA" w:rsidTr="00AA0913">
        <w:trPr>
          <w:trHeight w:val="315"/>
        </w:trPr>
        <w:tc>
          <w:tcPr>
            <w:tcW w:w="134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IANUARIE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7,504.00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2,856.00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13,252.00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1,470.00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150.00</w:t>
            </w:r>
          </w:p>
        </w:tc>
        <w:tc>
          <w:tcPr>
            <w:tcW w:w="110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778.39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rPr>
                <w:rFonts w:eastAsia="Times New Roman" w:cs="Calibri"/>
                <w:color w:val="000000"/>
                <w:lang w:val="en-GB" w:eastAsia="en-GB"/>
              </w:rPr>
            </w:pPr>
          </w:p>
        </w:tc>
        <w:tc>
          <w:tcPr>
            <w:tcW w:w="1219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26,010.39</w:t>
            </w:r>
          </w:p>
        </w:tc>
      </w:tr>
      <w:tr w:rsidR="001760FA" w:rsidRPr="001760FA" w:rsidTr="00AA0913">
        <w:trPr>
          <w:trHeight w:val="315"/>
        </w:trPr>
        <w:tc>
          <w:tcPr>
            <w:tcW w:w="1343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FEBRUARIE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3,207.00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2,142.00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14,070.00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2,065.00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1,050.00</w:t>
            </w:r>
          </w:p>
        </w:tc>
        <w:tc>
          <w:tcPr>
            <w:tcW w:w="110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1,200.00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rPr>
                <w:rFonts w:eastAsia="Times New Roman" w:cs="Calibri"/>
                <w:color w:val="000000"/>
                <w:lang w:val="en-GB" w:eastAsia="en-GB"/>
              </w:rPr>
            </w:pPr>
          </w:p>
        </w:tc>
        <w:tc>
          <w:tcPr>
            <w:tcW w:w="1219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23,734.00</w:t>
            </w:r>
          </w:p>
        </w:tc>
      </w:tr>
      <w:tr w:rsidR="001760FA" w:rsidRPr="001760FA" w:rsidTr="00AA0913">
        <w:trPr>
          <w:trHeight w:val="315"/>
        </w:trPr>
        <w:tc>
          <w:tcPr>
            <w:tcW w:w="134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MARTIE</w:t>
            </w:r>
          </w:p>
        </w:tc>
        <w:tc>
          <w:tcPr>
            <w:tcW w:w="1209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4,863.00</w:t>
            </w:r>
          </w:p>
        </w:tc>
        <w:tc>
          <w:tcPr>
            <w:tcW w:w="113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714.00</w:t>
            </w:r>
          </w:p>
        </w:tc>
        <w:tc>
          <w:tcPr>
            <w:tcW w:w="1276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16,505.00</w:t>
            </w:r>
          </w:p>
        </w:tc>
        <w:tc>
          <w:tcPr>
            <w:tcW w:w="113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2,190.00</w:t>
            </w:r>
          </w:p>
        </w:tc>
        <w:tc>
          <w:tcPr>
            <w:tcW w:w="113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2,100.00</w:t>
            </w:r>
          </w:p>
        </w:tc>
        <w:tc>
          <w:tcPr>
            <w:tcW w:w="110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1,356.31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rPr>
                <w:rFonts w:eastAsia="Times New Roman" w:cs="Calibri"/>
                <w:color w:val="000000"/>
                <w:lang w:val="en-GB" w:eastAsia="en-GB"/>
              </w:rPr>
            </w:pPr>
          </w:p>
        </w:tc>
        <w:tc>
          <w:tcPr>
            <w:tcW w:w="1219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27,728.31</w:t>
            </w:r>
          </w:p>
        </w:tc>
      </w:tr>
      <w:tr w:rsidR="001760FA" w:rsidRPr="001760FA" w:rsidTr="00AA0913">
        <w:trPr>
          <w:trHeight w:val="315"/>
        </w:trPr>
        <w:tc>
          <w:tcPr>
            <w:tcW w:w="134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APRILIE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3,109.00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0.00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15,134.20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2,994.00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1,950.00</w:t>
            </w:r>
          </w:p>
        </w:tc>
        <w:tc>
          <w:tcPr>
            <w:tcW w:w="11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1,301.46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rPr>
                <w:rFonts w:eastAsia="Times New Roman" w:cs="Calibri"/>
                <w:color w:val="000000"/>
                <w:lang w:val="en-GB" w:eastAsia="en-GB"/>
              </w:rPr>
            </w:pPr>
          </w:p>
        </w:tc>
        <w:tc>
          <w:tcPr>
            <w:tcW w:w="1219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24,488.66</w:t>
            </w:r>
          </w:p>
        </w:tc>
      </w:tr>
      <w:tr w:rsidR="001760FA" w:rsidRPr="001760FA" w:rsidTr="00AA0913">
        <w:trPr>
          <w:trHeight w:val="315"/>
        </w:trPr>
        <w:tc>
          <w:tcPr>
            <w:tcW w:w="134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MAI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2,894.00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1,428.00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18,469.00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3,320.00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3,900.00</w:t>
            </w:r>
          </w:p>
        </w:tc>
        <w:tc>
          <w:tcPr>
            <w:tcW w:w="110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1,397.00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rPr>
                <w:rFonts w:eastAsia="Times New Roman" w:cs="Calibri"/>
                <w:color w:val="000000"/>
                <w:lang w:val="en-GB" w:eastAsia="en-GB"/>
              </w:rPr>
            </w:pPr>
          </w:p>
        </w:tc>
        <w:tc>
          <w:tcPr>
            <w:tcW w:w="1219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31,408.00</w:t>
            </w:r>
          </w:p>
        </w:tc>
      </w:tr>
      <w:tr w:rsidR="001760FA" w:rsidRPr="001760FA" w:rsidTr="00AA0913">
        <w:trPr>
          <w:trHeight w:val="315"/>
        </w:trPr>
        <w:tc>
          <w:tcPr>
            <w:tcW w:w="134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IUNIE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5,107.70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710.00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15,503.90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1,260.00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3,150.00</w:t>
            </w:r>
          </w:p>
        </w:tc>
        <w:tc>
          <w:tcPr>
            <w:tcW w:w="110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1,496.05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rPr>
                <w:rFonts w:eastAsia="Times New Roman" w:cs="Calibri"/>
                <w:color w:val="000000"/>
                <w:lang w:val="en-GB" w:eastAsia="en-GB"/>
              </w:rPr>
            </w:pPr>
          </w:p>
        </w:tc>
        <w:tc>
          <w:tcPr>
            <w:tcW w:w="1219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27,227.65</w:t>
            </w:r>
          </w:p>
        </w:tc>
      </w:tr>
      <w:tr w:rsidR="001760FA" w:rsidRPr="001760FA" w:rsidTr="00AA0913">
        <w:trPr>
          <w:trHeight w:val="315"/>
        </w:trPr>
        <w:tc>
          <w:tcPr>
            <w:tcW w:w="134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IULIE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9,139.00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0.00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17,025.00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1,850.00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1,950.00</w:t>
            </w:r>
          </w:p>
        </w:tc>
        <w:tc>
          <w:tcPr>
            <w:tcW w:w="110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1,660.91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rPr>
                <w:rFonts w:eastAsia="Times New Roman" w:cs="Calibri"/>
                <w:color w:val="000000"/>
                <w:lang w:val="en-GB" w:eastAsia="en-GB"/>
              </w:rPr>
            </w:pPr>
          </w:p>
        </w:tc>
        <w:tc>
          <w:tcPr>
            <w:tcW w:w="1219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31,624.91</w:t>
            </w:r>
          </w:p>
        </w:tc>
      </w:tr>
      <w:tr w:rsidR="001760FA" w:rsidRPr="001760FA" w:rsidTr="00AA0913">
        <w:trPr>
          <w:trHeight w:val="315"/>
        </w:trPr>
        <w:tc>
          <w:tcPr>
            <w:tcW w:w="134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AUGUST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10,063.00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0.00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18,913.50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3,490.00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300.00</w:t>
            </w:r>
          </w:p>
        </w:tc>
        <w:tc>
          <w:tcPr>
            <w:tcW w:w="110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1,907.00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rPr>
                <w:rFonts w:eastAsia="Times New Roman" w:cs="Calibri"/>
                <w:color w:val="000000"/>
                <w:lang w:val="en-GB" w:eastAsia="en-GB"/>
              </w:rPr>
            </w:pPr>
          </w:p>
        </w:tc>
        <w:tc>
          <w:tcPr>
            <w:tcW w:w="1219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34,673.50</w:t>
            </w:r>
          </w:p>
        </w:tc>
      </w:tr>
      <w:tr w:rsidR="001760FA" w:rsidRPr="001760FA" w:rsidTr="00AA0913">
        <w:trPr>
          <w:trHeight w:val="315"/>
        </w:trPr>
        <w:tc>
          <w:tcPr>
            <w:tcW w:w="134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SEPTEMBRIE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3,192.00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0.00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17,123.00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4,182.00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1,350.00</w:t>
            </w:r>
          </w:p>
        </w:tc>
        <w:tc>
          <w:tcPr>
            <w:tcW w:w="110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1,744.00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rPr>
                <w:rFonts w:eastAsia="Times New Roman" w:cs="Calibri"/>
                <w:color w:val="000000"/>
                <w:lang w:val="en-GB" w:eastAsia="en-GB"/>
              </w:rPr>
            </w:pPr>
          </w:p>
        </w:tc>
        <w:tc>
          <w:tcPr>
            <w:tcW w:w="1219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27,591.00</w:t>
            </w:r>
          </w:p>
        </w:tc>
      </w:tr>
      <w:tr w:rsidR="001760FA" w:rsidRPr="001760FA" w:rsidTr="00AA0913">
        <w:trPr>
          <w:trHeight w:val="315"/>
        </w:trPr>
        <w:tc>
          <w:tcPr>
            <w:tcW w:w="134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OCTOMBRIE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2,418.00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0.00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14,665.00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3,710.00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3,000.00</w:t>
            </w:r>
          </w:p>
        </w:tc>
        <w:tc>
          <w:tcPr>
            <w:tcW w:w="110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1,512.00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rPr>
                <w:rFonts w:eastAsia="Times New Roman" w:cs="Calibri"/>
                <w:color w:val="000000"/>
                <w:lang w:val="en-GB" w:eastAsia="en-GB"/>
              </w:rPr>
            </w:pPr>
          </w:p>
        </w:tc>
        <w:tc>
          <w:tcPr>
            <w:tcW w:w="1219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25,305.00</w:t>
            </w:r>
          </w:p>
        </w:tc>
      </w:tr>
      <w:tr w:rsidR="001760FA" w:rsidRPr="001760FA" w:rsidTr="00AA0913">
        <w:trPr>
          <w:trHeight w:val="315"/>
        </w:trPr>
        <w:tc>
          <w:tcPr>
            <w:tcW w:w="134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NOIEMBRIE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2,092.00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0.00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13,243.80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2,080.00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1,650.00</w:t>
            </w:r>
          </w:p>
        </w:tc>
        <w:tc>
          <w:tcPr>
            <w:tcW w:w="110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1,631.00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rPr>
                <w:rFonts w:eastAsia="Times New Roman" w:cs="Calibri"/>
                <w:color w:val="000000"/>
                <w:lang w:val="en-GB" w:eastAsia="en-GB"/>
              </w:rPr>
            </w:pPr>
          </w:p>
        </w:tc>
        <w:tc>
          <w:tcPr>
            <w:tcW w:w="1219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20,696.80</w:t>
            </w:r>
          </w:p>
        </w:tc>
      </w:tr>
      <w:tr w:rsidR="001760FA" w:rsidRPr="001760FA" w:rsidTr="00AA0913">
        <w:trPr>
          <w:trHeight w:val="315"/>
        </w:trPr>
        <w:tc>
          <w:tcPr>
            <w:tcW w:w="134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DECEMBRIE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11,497.00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0.00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16,485.00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1,785.00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1,200.00</w:t>
            </w:r>
          </w:p>
        </w:tc>
        <w:tc>
          <w:tcPr>
            <w:tcW w:w="110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1,566.00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rPr>
                <w:rFonts w:eastAsia="Times New Roman" w:cs="Calibri"/>
                <w:color w:val="000000"/>
                <w:lang w:val="en-GB" w:eastAsia="en-GB"/>
              </w:rPr>
            </w:pPr>
          </w:p>
        </w:tc>
        <w:tc>
          <w:tcPr>
            <w:tcW w:w="1219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32,533.00</w:t>
            </w:r>
          </w:p>
        </w:tc>
      </w:tr>
      <w:tr w:rsidR="001760FA" w:rsidRPr="001760FA" w:rsidTr="00AA0913">
        <w:trPr>
          <w:trHeight w:val="155"/>
        </w:trPr>
        <w:tc>
          <w:tcPr>
            <w:tcW w:w="134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rPr>
                <w:rFonts w:eastAsia="Times New Roman" w:cs="Calibri"/>
                <w:color w:val="000000"/>
                <w:lang w:val="en-GB" w:eastAsia="en-GB"/>
              </w:rPr>
            </w:pPr>
          </w:p>
        </w:tc>
        <w:tc>
          <w:tcPr>
            <w:tcW w:w="12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rPr>
                <w:rFonts w:eastAsia="Times New Roman" w:cs="Calibri"/>
                <w:color w:val="000000"/>
                <w:lang w:val="en-GB" w:eastAsia="en-GB"/>
              </w:rPr>
            </w:pP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rPr>
                <w:rFonts w:eastAsia="Times New Roman" w:cs="Calibri"/>
                <w:color w:val="000000"/>
                <w:lang w:val="en-GB" w:eastAsia="en-GB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rPr>
                <w:rFonts w:eastAsia="Times New Roman" w:cs="Calibri"/>
                <w:color w:val="000000"/>
                <w:lang w:val="en-GB" w:eastAsia="en-GB"/>
              </w:rPr>
            </w:pP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rPr>
                <w:rFonts w:eastAsia="Times New Roman" w:cs="Calibri"/>
                <w:color w:val="000000"/>
                <w:lang w:val="en-GB" w:eastAsia="en-GB"/>
              </w:rPr>
            </w:pP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rPr>
                <w:rFonts w:eastAsia="Times New Roman" w:cs="Calibri"/>
                <w:color w:val="000000"/>
                <w:lang w:val="en-GB" w:eastAsia="en-GB"/>
              </w:rPr>
            </w:pPr>
          </w:p>
        </w:tc>
        <w:tc>
          <w:tcPr>
            <w:tcW w:w="110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rPr>
                <w:rFonts w:eastAsia="Times New Roman" w:cs="Calibri"/>
                <w:color w:val="000000"/>
                <w:lang w:val="en-GB" w:eastAsia="en-GB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rPr>
                <w:rFonts w:eastAsia="Times New Roman" w:cs="Calibri"/>
                <w:color w:val="000000"/>
                <w:lang w:val="en-GB" w:eastAsia="en-GB"/>
              </w:rPr>
            </w:pPr>
          </w:p>
        </w:tc>
        <w:tc>
          <w:tcPr>
            <w:tcW w:w="1219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rPr>
                <w:rFonts w:eastAsia="Times New Roman" w:cs="Calibri"/>
                <w:color w:val="000000"/>
                <w:lang w:val="en-GB" w:eastAsia="en-GB"/>
              </w:rPr>
            </w:pPr>
          </w:p>
        </w:tc>
      </w:tr>
      <w:tr w:rsidR="001760FA" w:rsidRPr="001760FA" w:rsidTr="00AA0913">
        <w:trPr>
          <w:trHeight w:val="412"/>
        </w:trPr>
        <w:tc>
          <w:tcPr>
            <w:tcW w:w="134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TOTAL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65,085.70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7,850.00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190,389.40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30,396.00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21,750.00</w:t>
            </w:r>
          </w:p>
        </w:tc>
        <w:tc>
          <w:tcPr>
            <w:tcW w:w="110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17,550.12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rPr>
                <w:rFonts w:eastAsia="Times New Roman" w:cs="Calibri"/>
                <w:color w:val="000000"/>
                <w:lang w:val="en-GB" w:eastAsia="en-GB"/>
              </w:rPr>
            </w:pPr>
          </w:p>
        </w:tc>
        <w:tc>
          <w:tcPr>
            <w:tcW w:w="121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760FA" w:rsidRPr="001760FA" w:rsidRDefault="001760FA" w:rsidP="001760FA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val="en-GB" w:eastAsia="en-GB"/>
              </w:rPr>
            </w:pPr>
            <w:r w:rsidRPr="001760FA">
              <w:rPr>
                <w:rFonts w:eastAsia="Times New Roman" w:cs="Calibri"/>
                <w:color w:val="000000"/>
                <w:lang w:val="en-GB" w:eastAsia="en-GB"/>
              </w:rPr>
              <w:t>333,021.22</w:t>
            </w:r>
          </w:p>
        </w:tc>
      </w:tr>
    </w:tbl>
    <w:p w:rsidR="00EE01F2" w:rsidRPr="007315DC" w:rsidRDefault="00205D3F" w:rsidP="007315DC">
      <w:pPr>
        <w:pStyle w:val="ListParagraph"/>
        <w:numPr>
          <w:ilvl w:val="0"/>
          <w:numId w:val="1"/>
        </w:numPr>
        <w:spacing w:after="0" w:line="240" w:lineRule="auto"/>
        <w:ind w:left="142"/>
        <w:jc w:val="both"/>
        <w:rPr>
          <w:rFonts w:ascii="Times New Roman" w:hAnsi="Times New Roman"/>
          <w:sz w:val="28"/>
          <w:szCs w:val="28"/>
          <w:lang w:val="ro-RO"/>
        </w:rPr>
      </w:pPr>
      <w:r>
        <w:rPr>
          <w:rFonts w:ascii="Times New Roman" w:hAnsi="Times New Roman"/>
          <w:sz w:val="28"/>
          <w:szCs w:val="28"/>
          <w:lang w:val="ro-RO"/>
        </w:rPr>
        <w:t>Î</w:t>
      </w:r>
      <w:r w:rsidR="00EE01F2" w:rsidRPr="007315DC">
        <w:rPr>
          <w:rFonts w:ascii="Times New Roman" w:hAnsi="Times New Roman"/>
          <w:sz w:val="28"/>
          <w:szCs w:val="28"/>
          <w:lang w:val="ro-RO"/>
        </w:rPr>
        <w:t xml:space="preserve">nocmit proces verbal de contravenție </w:t>
      </w:r>
      <w:r w:rsidR="007315DC" w:rsidRPr="007315DC">
        <w:rPr>
          <w:rFonts w:ascii="Times New Roman" w:hAnsi="Times New Roman"/>
          <w:sz w:val="28"/>
          <w:szCs w:val="28"/>
          <w:lang w:val="ro-RO"/>
        </w:rPr>
        <w:t>1</w:t>
      </w:r>
      <w:r w:rsidR="001760FA">
        <w:rPr>
          <w:rFonts w:ascii="Times New Roman" w:hAnsi="Times New Roman"/>
          <w:sz w:val="28"/>
          <w:szCs w:val="28"/>
          <w:lang w:val="ro-RO"/>
        </w:rPr>
        <w:t>55</w:t>
      </w:r>
      <w:r w:rsidR="00EE01F2" w:rsidRPr="007315DC">
        <w:rPr>
          <w:rFonts w:ascii="Times New Roman" w:hAnsi="Times New Roman"/>
          <w:sz w:val="28"/>
          <w:szCs w:val="28"/>
          <w:lang w:val="ro-RO"/>
        </w:rPr>
        <w:t xml:space="preserve"> buc. (01 </w:t>
      </w:r>
      <w:r w:rsidR="00205EAF" w:rsidRPr="007315DC">
        <w:rPr>
          <w:rFonts w:ascii="Times New Roman" w:hAnsi="Times New Roman"/>
          <w:sz w:val="28"/>
          <w:szCs w:val="28"/>
          <w:lang w:val="ro-RO"/>
        </w:rPr>
        <w:t>ian</w:t>
      </w:r>
      <w:r w:rsidR="00EE01F2" w:rsidRPr="007315DC">
        <w:rPr>
          <w:rFonts w:ascii="Times New Roman" w:hAnsi="Times New Roman"/>
          <w:sz w:val="28"/>
          <w:szCs w:val="28"/>
          <w:lang w:val="ro-RO"/>
        </w:rPr>
        <w:t xml:space="preserve">uarie – </w:t>
      </w:r>
      <w:r w:rsidR="006E7A59" w:rsidRPr="007315DC">
        <w:rPr>
          <w:rFonts w:ascii="Times New Roman" w:hAnsi="Times New Roman"/>
          <w:sz w:val="28"/>
          <w:szCs w:val="28"/>
          <w:lang w:val="ro-RO"/>
        </w:rPr>
        <w:t>31</w:t>
      </w:r>
      <w:r w:rsidR="00DB1008" w:rsidRPr="007315DC">
        <w:rPr>
          <w:rFonts w:ascii="Times New Roman" w:hAnsi="Times New Roman"/>
          <w:sz w:val="28"/>
          <w:szCs w:val="28"/>
          <w:lang w:val="ro-RO"/>
        </w:rPr>
        <w:t xml:space="preserve"> </w:t>
      </w:r>
      <w:r w:rsidR="001760FA">
        <w:rPr>
          <w:rFonts w:ascii="Times New Roman" w:hAnsi="Times New Roman"/>
          <w:sz w:val="28"/>
          <w:szCs w:val="28"/>
          <w:lang w:val="ro-RO"/>
        </w:rPr>
        <w:t>decembrie</w:t>
      </w:r>
      <w:r w:rsidR="00EE01F2" w:rsidRPr="007315DC">
        <w:rPr>
          <w:rFonts w:ascii="Times New Roman" w:hAnsi="Times New Roman"/>
          <w:sz w:val="28"/>
          <w:szCs w:val="28"/>
          <w:lang w:val="ro-RO"/>
        </w:rPr>
        <w:t>)</w:t>
      </w:r>
    </w:p>
    <w:p w:rsidR="00512966" w:rsidRDefault="00EE01F2" w:rsidP="00512966">
      <w:pPr>
        <w:numPr>
          <w:ilvl w:val="0"/>
          <w:numId w:val="1"/>
        </w:numPr>
        <w:spacing w:after="0" w:line="240" w:lineRule="auto"/>
        <w:ind w:left="142"/>
        <w:jc w:val="both"/>
        <w:rPr>
          <w:rFonts w:ascii="Times New Roman" w:hAnsi="Times New Roman"/>
          <w:sz w:val="28"/>
          <w:szCs w:val="28"/>
          <w:lang w:val="ro-RO"/>
        </w:rPr>
      </w:pPr>
      <w:r w:rsidRPr="008D1D0F">
        <w:rPr>
          <w:rFonts w:ascii="Times New Roman" w:hAnsi="Times New Roman"/>
          <w:sz w:val="28"/>
          <w:szCs w:val="28"/>
          <w:lang w:val="ro-RO"/>
        </w:rPr>
        <w:t xml:space="preserve">plată, luna </w:t>
      </w:r>
      <w:r w:rsidR="001760FA">
        <w:rPr>
          <w:rFonts w:ascii="Times New Roman" w:hAnsi="Times New Roman"/>
          <w:sz w:val="28"/>
          <w:szCs w:val="28"/>
          <w:lang w:val="ro-RO"/>
        </w:rPr>
        <w:t>Dece</w:t>
      </w:r>
      <w:r w:rsidR="007315DC">
        <w:rPr>
          <w:rFonts w:ascii="Times New Roman" w:hAnsi="Times New Roman"/>
          <w:sz w:val="28"/>
          <w:szCs w:val="28"/>
          <w:lang w:val="ro-RO"/>
        </w:rPr>
        <w:t>mbrie</w:t>
      </w:r>
      <w:r w:rsidRPr="008D1D0F">
        <w:rPr>
          <w:rFonts w:ascii="Times New Roman" w:hAnsi="Times New Roman"/>
          <w:sz w:val="28"/>
          <w:szCs w:val="28"/>
          <w:lang w:val="ro-RO"/>
        </w:rPr>
        <w:t xml:space="preserve">,  prin SMS = </w:t>
      </w:r>
      <w:r w:rsidR="00147B09">
        <w:rPr>
          <w:rFonts w:ascii="Times New Roman" w:hAnsi="Times New Roman"/>
          <w:sz w:val="28"/>
          <w:szCs w:val="28"/>
          <w:u w:val="single"/>
          <w:lang w:val="ro-RO"/>
        </w:rPr>
        <w:t>8</w:t>
      </w:r>
      <w:r w:rsidR="001760FA">
        <w:rPr>
          <w:rFonts w:ascii="Times New Roman" w:hAnsi="Times New Roman"/>
          <w:sz w:val="28"/>
          <w:szCs w:val="28"/>
          <w:u w:val="single"/>
          <w:lang w:val="ro-RO"/>
        </w:rPr>
        <w:t>61</w:t>
      </w:r>
      <w:r w:rsidRPr="008D1D0F">
        <w:rPr>
          <w:rFonts w:ascii="Times New Roman" w:hAnsi="Times New Roman"/>
          <w:sz w:val="28"/>
          <w:szCs w:val="28"/>
          <w:lang w:val="ro-RO"/>
        </w:rPr>
        <w:t xml:space="preserve"> din care </w:t>
      </w:r>
      <w:r w:rsidR="001760FA">
        <w:rPr>
          <w:rFonts w:ascii="Times New Roman" w:hAnsi="Times New Roman"/>
          <w:sz w:val="28"/>
          <w:szCs w:val="28"/>
          <w:lang w:val="ro-RO"/>
        </w:rPr>
        <w:t>839</w:t>
      </w:r>
      <w:r w:rsidRPr="008D1D0F">
        <w:rPr>
          <w:rFonts w:ascii="Times New Roman" w:hAnsi="Times New Roman"/>
          <w:sz w:val="28"/>
          <w:szCs w:val="28"/>
          <w:lang w:val="ro-RO"/>
        </w:rPr>
        <w:t xml:space="preserve"> (1 h) și </w:t>
      </w:r>
      <w:r w:rsidR="001760FA">
        <w:rPr>
          <w:rFonts w:ascii="Times New Roman" w:hAnsi="Times New Roman"/>
          <w:sz w:val="28"/>
          <w:szCs w:val="28"/>
          <w:lang w:val="ro-RO"/>
        </w:rPr>
        <w:t>22</w:t>
      </w:r>
      <w:r w:rsidRPr="008D1D0F">
        <w:rPr>
          <w:rFonts w:ascii="Times New Roman" w:hAnsi="Times New Roman"/>
          <w:sz w:val="28"/>
          <w:szCs w:val="28"/>
          <w:lang w:val="ro-RO"/>
        </w:rPr>
        <w:t xml:space="preserve"> (24 h)</w:t>
      </w:r>
    </w:p>
    <w:p w:rsidR="007315DC" w:rsidRDefault="007315DC" w:rsidP="007315DC">
      <w:pPr>
        <w:spacing w:after="0" w:line="240" w:lineRule="auto"/>
        <w:ind w:left="142"/>
        <w:jc w:val="both"/>
        <w:rPr>
          <w:rFonts w:ascii="Times New Roman" w:hAnsi="Times New Roman"/>
          <w:sz w:val="28"/>
          <w:szCs w:val="28"/>
          <w:lang w:val="ro-RO"/>
        </w:rPr>
      </w:pPr>
    </w:p>
    <w:p w:rsidR="001760FA" w:rsidRDefault="001760FA" w:rsidP="00AA0913">
      <w:pPr>
        <w:spacing w:after="0" w:line="240" w:lineRule="auto"/>
        <w:ind w:left="142"/>
        <w:jc w:val="both"/>
        <w:rPr>
          <w:rFonts w:ascii="Times New Roman" w:hAnsi="Times New Roman"/>
          <w:sz w:val="28"/>
          <w:szCs w:val="28"/>
          <w:lang w:val="ro-RO"/>
        </w:rPr>
      </w:pPr>
      <w:r w:rsidRPr="001760FA">
        <w:rPr>
          <w:rFonts w:ascii="Times New Roman" w:hAnsi="Times New Roman"/>
          <w:noProof/>
          <w:sz w:val="28"/>
          <w:szCs w:val="28"/>
          <w:lang w:val="en-GB" w:eastAsia="en-GB"/>
        </w:rPr>
        <w:drawing>
          <wp:inline distT="0" distB="0" distL="0" distR="0">
            <wp:extent cx="5838825" cy="2905125"/>
            <wp:effectExtent l="19050" t="0" r="9525" b="0"/>
            <wp:docPr id="1" name="Chart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</wp:inline>
        </w:drawing>
      </w:r>
    </w:p>
    <w:p w:rsidR="001760FA" w:rsidRDefault="001760FA" w:rsidP="00AA0913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ro-RO"/>
        </w:rPr>
      </w:pPr>
      <w:r w:rsidRPr="001760FA">
        <w:rPr>
          <w:rFonts w:ascii="Times New Roman" w:hAnsi="Times New Roman"/>
          <w:noProof/>
          <w:sz w:val="28"/>
          <w:szCs w:val="28"/>
          <w:lang w:val="en-GB" w:eastAsia="en-GB"/>
        </w:rPr>
        <w:lastRenderedPageBreak/>
        <w:drawing>
          <wp:inline distT="0" distB="0" distL="0" distR="0">
            <wp:extent cx="5981700" cy="2962275"/>
            <wp:effectExtent l="19050" t="0" r="19050" b="0"/>
            <wp:docPr id="5" name="Chart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:rsidR="00CA7688" w:rsidRDefault="00CA7688"/>
    <w:p w:rsidR="00CA7688" w:rsidRDefault="00AA0913">
      <w:r w:rsidRPr="00AA0913">
        <w:rPr>
          <w:noProof/>
          <w:lang w:val="en-GB" w:eastAsia="en-GB"/>
        </w:rPr>
        <w:drawing>
          <wp:inline distT="0" distB="0" distL="0" distR="0">
            <wp:extent cx="5991225" cy="3352800"/>
            <wp:effectExtent l="19050" t="0" r="9525" b="0"/>
            <wp:docPr id="8" name="Chart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:rsidR="00CA7688" w:rsidRDefault="00CA7688"/>
    <w:p w:rsidR="00EE01F2" w:rsidRPr="00B249B3" w:rsidRDefault="008C32E1" w:rsidP="008C32E1">
      <w:pPr>
        <w:tabs>
          <w:tab w:val="left" w:pos="6930"/>
        </w:tabs>
        <w:ind w:left="-284"/>
        <w:jc w:val="both"/>
        <w:rPr>
          <w:rFonts w:ascii="Times New Roman" w:hAnsi="Times New Roman"/>
          <w:sz w:val="28"/>
          <w:szCs w:val="28"/>
          <w:lang w:val="ro-RO"/>
        </w:rPr>
      </w:pPr>
      <w:r>
        <w:rPr>
          <w:rFonts w:ascii="Times New Roman" w:hAnsi="Times New Roman"/>
          <w:sz w:val="32"/>
          <w:szCs w:val="32"/>
          <w:lang w:val="ro-RO"/>
        </w:rPr>
        <w:t xml:space="preserve">              </w:t>
      </w:r>
      <w:r w:rsidR="00EE01F2" w:rsidRPr="00B249B3">
        <w:rPr>
          <w:rFonts w:ascii="Times New Roman" w:hAnsi="Times New Roman"/>
          <w:sz w:val="28"/>
          <w:szCs w:val="28"/>
          <w:lang w:val="ro-RO"/>
        </w:rPr>
        <w:t>DATA</w:t>
      </w:r>
      <w:r w:rsidR="00B249B3">
        <w:rPr>
          <w:rFonts w:ascii="Times New Roman" w:hAnsi="Times New Roman"/>
          <w:sz w:val="28"/>
          <w:szCs w:val="28"/>
          <w:lang w:val="ro-RO"/>
        </w:rPr>
        <w:t>,</w:t>
      </w:r>
      <w:r w:rsidR="00EE01F2" w:rsidRPr="00B249B3">
        <w:rPr>
          <w:rFonts w:ascii="Times New Roman" w:hAnsi="Times New Roman"/>
          <w:noProof/>
          <w:sz w:val="28"/>
          <w:szCs w:val="28"/>
          <w:lang w:val="en-GB" w:eastAsia="en-GB"/>
        </w:rPr>
        <w:tab/>
      </w:r>
      <w:r w:rsidR="00EE01F2" w:rsidRPr="00B249B3">
        <w:rPr>
          <w:rFonts w:ascii="Times New Roman" w:hAnsi="Times New Roman"/>
          <w:sz w:val="28"/>
          <w:szCs w:val="28"/>
          <w:lang w:val="ro-RO"/>
        </w:rPr>
        <w:t>Semnătura,</w:t>
      </w:r>
    </w:p>
    <w:p w:rsidR="00992CFC" w:rsidRPr="00B249B3" w:rsidRDefault="00EE01F2">
      <w:pPr>
        <w:rPr>
          <w:sz w:val="28"/>
          <w:szCs w:val="28"/>
        </w:rPr>
      </w:pPr>
      <w:r w:rsidRPr="00B249B3">
        <w:rPr>
          <w:rFonts w:ascii="Times New Roman" w:hAnsi="Times New Roman"/>
          <w:sz w:val="28"/>
          <w:szCs w:val="28"/>
          <w:lang w:val="ro-RO"/>
        </w:rPr>
        <w:t xml:space="preserve">         </w:t>
      </w:r>
      <w:r w:rsidR="00C24C1C">
        <w:rPr>
          <w:rFonts w:ascii="Times New Roman" w:hAnsi="Times New Roman"/>
          <w:sz w:val="28"/>
          <w:szCs w:val="28"/>
          <w:lang w:val="ro-RO"/>
        </w:rPr>
        <w:t>21</w:t>
      </w:r>
      <w:r w:rsidR="00EF5B8D">
        <w:rPr>
          <w:rFonts w:ascii="Times New Roman" w:hAnsi="Times New Roman"/>
          <w:sz w:val="28"/>
          <w:szCs w:val="28"/>
          <w:lang w:val="ro-RO"/>
        </w:rPr>
        <w:t>.</w:t>
      </w:r>
      <w:r w:rsidR="00AA0913">
        <w:rPr>
          <w:rFonts w:ascii="Times New Roman" w:hAnsi="Times New Roman"/>
          <w:sz w:val="28"/>
          <w:szCs w:val="28"/>
          <w:lang w:val="ro-RO"/>
        </w:rPr>
        <w:t>0</w:t>
      </w:r>
      <w:r w:rsidR="00C24C1C">
        <w:rPr>
          <w:rFonts w:ascii="Times New Roman" w:hAnsi="Times New Roman"/>
          <w:sz w:val="28"/>
          <w:szCs w:val="28"/>
          <w:lang w:val="ro-RO"/>
        </w:rPr>
        <w:t>2</w:t>
      </w:r>
      <w:r w:rsidRPr="00B249B3">
        <w:rPr>
          <w:rFonts w:ascii="Times New Roman" w:hAnsi="Times New Roman"/>
          <w:sz w:val="28"/>
          <w:szCs w:val="28"/>
          <w:lang w:val="ro-RO"/>
        </w:rPr>
        <w:t>.20</w:t>
      </w:r>
      <w:r w:rsidR="00B249B3" w:rsidRPr="00B249B3">
        <w:rPr>
          <w:rFonts w:ascii="Times New Roman" w:hAnsi="Times New Roman"/>
          <w:sz w:val="28"/>
          <w:szCs w:val="28"/>
          <w:lang w:val="ro-RO"/>
        </w:rPr>
        <w:t>2</w:t>
      </w:r>
      <w:r w:rsidR="00AA0913">
        <w:rPr>
          <w:rFonts w:ascii="Times New Roman" w:hAnsi="Times New Roman"/>
          <w:sz w:val="28"/>
          <w:szCs w:val="28"/>
          <w:lang w:val="ro-RO"/>
        </w:rPr>
        <w:t>2</w:t>
      </w:r>
      <w:r w:rsidRPr="00B249B3">
        <w:rPr>
          <w:rFonts w:ascii="Times New Roman" w:hAnsi="Times New Roman"/>
          <w:sz w:val="28"/>
          <w:szCs w:val="28"/>
          <w:lang w:val="ro-RO"/>
        </w:rPr>
        <w:tab/>
      </w:r>
      <w:r w:rsidRPr="00B249B3">
        <w:rPr>
          <w:rFonts w:ascii="Times New Roman" w:hAnsi="Times New Roman"/>
          <w:sz w:val="28"/>
          <w:szCs w:val="28"/>
          <w:lang w:val="ro-RO"/>
        </w:rPr>
        <w:tab/>
      </w:r>
      <w:r w:rsidRPr="00B249B3">
        <w:rPr>
          <w:rFonts w:ascii="Times New Roman" w:hAnsi="Times New Roman"/>
          <w:sz w:val="28"/>
          <w:szCs w:val="28"/>
          <w:lang w:val="ro-RO"/>
        </w:rPr>
        <w:tab/>
      </w:r>
      <w:r w:rsidRPr="00B249B3">
        <w:rPr>
          <w:rFonts w:ascii="Times New Roman" w:hAnsi="Times New Roman"/>
          <w:sz w:val="28"/>
          <w:szCs w:val="28"/>
          <w:lang w:val="ro-RO"/>
        </w:rPr>
        <w:tab/>
      </w:r>
      <w:r w:rsidRPr="00B249B3">
        <w:rPr>
          <w:rFonts w:ascii="Times New Roman" w:hAnsi="Times New Roman"/>
          <w:sz w:val="28"/>
          <w:szCs w:val="28"/>
          <w:lang w:val="ro-RO"/>
        </w:rPr>
        <w:tab/>
        <w:t xml:space="preserve">           Dir. Ex. Croitoru Constantin</w:t>
      </w:r>
    </w:p>
    <w:sectPr w:rsidR="00992CFC" w:rsidRPr="00B249B3" w:rsidSect="001760FA">
      <w:headerReference w:type="default" r:id="rId11"/>
      <w:footerReference w:type="default" r:id="rId12"/>
      <w:pgSz w:w="11909" w:h="16834" w:code="9"/>
      <w:pgMar w:top="997" w:right="1136" w:bottom="1418" w:left="1440" w:header="720" w:footer="36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F689A" w:rsidRDefault="007F689A" w:rsidP="00CA7688">
      <w:pPr>
        <w:spacing w:after="0" w:line="240" w:lineRule="auto"/>
      </w:pPr>
      <w:r>
        <w:separator/>
      </w:r>
    </w:p>
  </w:endnote>
  <w:endnote w:type="continuationSeparator" w:id="1">
    <w:p w:rsidR="007F689A" w:rsidRDefault="007F689A" w:rsidP="00CA76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A7688" w:rsidRDefault="003D6117" w:rsidP="007D5758">
    <w:pPr>
      <w:pStyle w:val="Footer"/>
      <w:tabs>
        <w:tab w:val="clear" w:pos="4680"/>
        <w:tab w:val="clear" w:pos="9360"/>
        <w:tab w:val="left" w:pos="90"/>
        <w:tab w:val="left" w:pos="3015"/>
      </w:tabs>
    </w:pPr>
    <w:r>
      <w:rPr>
        <w:noProof/>
        <w:lang w:val="en-GB" w:eastAsia="en-GB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-1041400</wp:posOffset>
          </wp:positionH>
          <wp:positionV relativeFrom="paragraph">
            <wp:posOffset>-520700</wp:posOffset>
          </wp:positionV>
          <wp:extent cx="7252335" cy="1645920"/>
          <wp:effectExtent l="19050" t="0" r="5715" b="0"/>
          <wp:wrapNone/>
          <wp:docPr id="7" name="Picture 7" descr="also_intocmit nélkü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also_intocmit nélkül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52335" cy="164592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CA7688" w:rsidRDefault="00CA7688" w:rsidP="00CA7688">
    <w:pPr>
      <w:pStyle w:val="Footer"/>
      <w:tabs>
        <w:tab w:val="clear" w:pos="4680"/>
        <w:tab w:val="clear" w:pos="9360"/>
        <w:tab w:val="left" w:pos="3015"/>
      </w:tabs>
    </w:pPr>
  </w:p>
  <w:p w:rsidR="00CA7688" w:rsidRDefault="00CA7688" w:rsidP="00CA7688">
    <w:pPr>
      <w:pStyle w:val="Footer"/>
      <w:tabs>
        <w:tab w:val="clear" w:pos="4680"/>
        <w:tab w:val="clear" w:pos="9360"/>
        <w:tab w:val="left" w:pos="3015"/>
      </w:tabs>
    </w:pPr>
  </w:p>
  <w:p w:rsidR="007D5758" w:rsidRDefault="007D5758" w:rsidP="00CA7688">
    <w:pPr>
      <w:pStyle w:val="Footer"/>
      <w:tabs>
        <w:tab w:val="clear" w:pos="4680"/>
        <w:tab w:val="clear" w:pos="9360"/>
        <w:tab w:val="left" w:pos="3015"/>
      </w:tabs>
    </w:pPr>
  </w:p>
  <w:p w:rsidR="007D5758" w:rsidRDefault="007D5758" w:rsidP="00CA7688">
    <w:pPr>
      <w:pStyle w:val="Footer"/>
      <w:tabs>
        <w:tab w:val="clear" w:pos="4680"/>
        <w:tab w:val="clear" w:pos="9360"/>
        <w:tab w:val="left" w:pos="3015"/>
      </w:tabs>
    </w:pPr>
  </w:p>
  <w:p w:rsidR="00CA7688" w:rsidRPr="007D5758" w:rsidRDefault="007D5758" w:rsidP="00CA7688">
    <w:pPr>
      <w:pStyle w:val="Footer"/>
      <w:tabs>
        <w:tab w:val="clear" w:pos="4680"/>
        <w:tab w:val="clear" w:pos="9360"/>
        <w:tab w:val="left" w:pos="3015"/>
      </w:tabs>
      <w:rPr>
        <w:rFonts w:ascii="Cambria" w:hAnsi="Cambria"/>
        <w:sz w:val="24"/>
      </w:rPr>
    </w:pPr>
    <w:r w:rsidRPr="007D5758">
      <w:rPr>
        <w:rFonts w:ascii="Cambria" w:hAnsi="Cambria"/>
        <w:sz w:val="24"/>
      </w:rPr>
      <w:t xml:space="preserve">Întocmit de: </w:t>
    </w:r>
    <w:r w:rsidR="00974FE5">
      <w:rPr>
        <w:rFonts w:ascii="Cambria" w:hAnsi="Cambria"/>
        <w:sz w:val="24"/>
        <w:lang w:val="ro-RO"/>
      </w:rPr>
      <w:t>Dir. Ex.  Croitoru Constantin</w:t>
    </w:r>
    <w:r w:rsidR="00393733">
      <w:rPr>
        <w:rFonts w:ascii="Cambria" w:hAnsi="Cambria"/>
        <w:sz w:val="24"/>
      </w:rPr>
      <w:t>, Pol</w:t>
    </w:r>
    <w:r w:rsidR="00393733">
      <w:rPr>
        <w:rFonts w:ascii="Cambria" w:hAnsi="Cambria"/>
        <w:sz w:val="24"/>
        <w:lang w:val="ro-RO"/>
      </w:rPr>
      <w:t xml:space="preserve">iția Locală 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F689A" w:rsidRDefault="007F689A" w:rsidP="00CA7688">
      <w:pPr>
        <w:spacing w:after="0" w:line="240" w:lineRule="auto"/>
      </w:pPr>
      <w:r>
        <w:separator/>
      </w:r>
    </w:p>
  </w:footnote>
  <w:footnote w:type="continuationSeparator" w:id="1">
    <w:p w:rsidR="007F689A" w:rsidRDefault="007F689A" w:rsidP="00CA768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A7688" w:rsidRDefault="003D6117" w:rsidP="0084590B">
    <w:pPr>
      <w:pStyle w:val="Header"/>
      <w:tabs>
        <w:tab w:val="left" w:pos="90"/>
      </w:tabs>
      <w:ind w:right="29"/>
    </w:pPr>
    <w:r>
      <w:rPr>
        <w:noProof/>
        <w:lang w:val="en-GB" w:eastAsia="en-GB"/>
      </w:rPr>
      <w:drawing>
        <wp:anchor distT="0" distB="0" distL="114300" distR="114300" simplePos="0" relativeHeight="251657216" behindDoc="1" locked="0" layoutInCell="1" allowOverlap="1">
          <wp:simplePos x="0" y="0"/>
          <wp:positionH relativeFrom="column">
            <wp:posOffset>-1073150</wp:posOffset>
          </wp:positionH>
          <wp:positionV relativeFrom="page">
            <wp:posOffset>161925</wp:posOffset>
          </wp:positionV>
          <wp:extent cx="7284085" cy="1652905"/>
          <wp:effectExtent l="19050" t="0" r="0" b="0"/>
          <wp:wrapNone/>
          <wp:docPr id="6" name="Picture 6" descr="KPH_R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KPH_RO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84085" cy="16529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CA7688" w:rsidRDefault="00CA7688">
    <w:pPr>
      <w:pStyle w:val="Header"/>
    </w:pPr>
  </w:p>
  <w:p w:rsidR="00CA7688" w:rsidRDefault="00CA7688">
    <w:pPr>
      <w:pStyle w:val="Header"/>
    </w:pPr>
  </w:p>
  <w:p w:rsidR="00CA7688" w:rsidRDefault="00CA7688">
    <w:pPr>
      <w:pStyle w:val="Header"/>
    </w:pPr>
  </w:p>
  <w:p w:rsidR="00CA7688" w:rsidRDefault="00CA7688">
    <w:pPr>
      <w:pStyle w:val="Header"/>
    </w:pPr>
  </w:p>
  <w:p w:rsidR="007D5758" w:rsidRDefault="007D5758" w:rsidP="007D5758">
    <w:pPr>
      <w:pStyle w:val="Header"/>
    </w:pPr>
  </w:p>
  <w:p w:rsidR="007D5758" w:rsidRDefault="007D5758" w:rsidP="007D5758">
    <w:pPr>
      <w:pStyle w:val="Header"/>
      <w:rPr>
        <w:rFonts w:ascii="Cambria" w:hAnsi="Cambria"/>
        <w:sz w:val="24"/>
        <w:lang w:val="ro-RO"/>
      </w:rPr>
    </w:pPr>
    <w:r>
      <w:rPr>
        <w:rFonts w:ascii="Cambria" w:hAnsi="Cambria"/>
        <w:sz w:val="24"/>
      </w:rPr>
      <w:t>Nr.</w:t>
    </w:r>
    <w:r>
      <w:rPr>
        <w:rFonts w:ascii="Cambria" w:hAnsi="Cambria"/>
        <w:sz w:val="24"/>
        <w:lang w:val="ro-RO"/>
      </w:rPr>
      <w:t>: _____________/__________________</w:t>
    </w:r>
  </w:p>
  <w:p w:rsidR="00CA7688" w:rsidRDefault="00CA7688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4D22874"/>
    <w:multiLevelType w:val="hybridMultilevel"/>
    <w:tmpl w:val="2CE22454"/>
    <w:lvl w:ilvl="0" w:tplc="080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drawingGridHorizontalSpacing w:val="110"/>
  <w:displayHorizontalDrawingGridEvery w:val="2"/>
  <w:displayVerticalDrawingGridEvery w:val="2"/>
  <w:characterSpacingControl w:val="doNotCompress"/>
  <w:hdrShapeDefaults>
    <o:shapedefaults v:ext="edit" spidmax="82946"/>
  </w:hdrShapeDefaults>
  <w:footnotePr>
    <w:footnote w:id="0"/>
    <w:footnote w:id="1"/>
  </w:footnotePr>
  <w:endnotePr>
    <w:endnote w:id="0"/>
    <w:endnote w:id="1"/>
  </w:endnotePr>
  <w:compat/>
  <w:rsids>
    <w:rsidRoot w:val="00CA7688"/>
    <w:rsid w:val="000040FD"/>
    <w:rsid w:val="0003598C"/>
    <w:rsid w:val="000374B9"/>
    <w:rsid w:val="00043B53"/>
    <w:rsid w:val="00046F85"/>
    <w:rsid w:val="0006567D"/>
    <w:rsid w:val="00066863"/>
    <w:rsid w:val="00095336"/>
    <w:rsid w:val="000E1418"/>
    <w:rsid w:val="0011655C"/>
    <w:rsid w:val="00123423"/>
    <w:rsid w:val="001365BA"/>
    <w:rsid w:val="00147B09"/>
    <w:rsid w:val="001760FA"/>
    <w:rsid w:val="00187B8C"/>
    <w:rsid w:val="001C1FBE"/>
    <w:rsid w:val="00201EE3"/>
    <w:rsid w:val="00205D3F"/>
    <w:rsid w:val="00205EAF"/>
    <w:rsid w:val="00221892"/>
    <w:rsid w:val="00260969"/>
    <w:rsid w:val="0027785B"/>
    <w:rsid w:val="002A470C"/>
    <w:rsid w:val="002D2E04"/>
    <w:rsid w:val="003273D9"/>
    <w:rsid w:val="003652FE"/>
    <w:rsid w:val="00393733"/>
    <w:rsid w:val="00395BF5"/>
    <w:rsid w:val="003B1098"/>
    <w:rsid w:val="003C274A"/>
    <w:rsid w:val="003D2030"/>
    <w:rsid w:val="003D6117"/>
    <w:rsid w:val="003F6753"/>
    <w:rsid w:val="00461415"/>
    <w:rsid w:val="004716FC"/>
    <w:rsid w:val="004979EB"/>
    <w:rsid w:val="004C3D80"/>
    <w:rsid w:val="00512966"/>
    <w:rsid w:val="00522B2F"/>
    <w:rsid w:val="00523A3E"/>
    <w:rsid w:val="005575B0"/>
    <w:rsid w:val="00585E65"/>
    <w:rsid w:val="005A3196"/>
    <w:rsid w:val="00603F29"/>
    <w:rsid w:val="00610C34"/>
    <w:rsid w:val="006144BE"/>
    <w:rsid w:val="00652A1C"/>
    <w:rsid w:val="00681E66"/>
    <w:rsid w:val="006858F5"/>
    <w:rsid w:val="006E7A59"/>
    <w:rsid w:val="006F1903"/>
    <w:rsid w:val="0071054D"/>
    <w:rsid w:val="00712E9C"/>
    <w:rsid w:val="00727874"/>
    <w:rsid w:val="007315DC"/>
    <w:rsid w:val="00756511"/>
    <w:rsid w:val="00756E11"/>
    <w:rsid w:val="007804EF"/>
    <w:rsid w:val="00781964"/>
    <w:rsid w:val="007B6272"/>
    <w:rsid w:val="007C5869"/>
    <w:rsid w:val="007C60B0"/>
    <w:rsid w:val="007D0B36"/>
    <w:rsid w:val="007D5758"/>
    <w:rsid w:val="007E418C"/>
    <w:rsid w:val="007F689A"/>
    <w:rsid w:val="00827AC8"/>
    <w:rsid w:val="0084590B"/>
    <w:rsid w:val="00851EB1"/>
    <w:rsid w:val="008700B6"/>
    <w:rsid w:val="00886ABC"/>
    <w:rsid w:val="00897181"/>
    <w:rsid w:val="008A22D0"/>
    <w:rsid w:val="008C32E1"/>
    <w:rsid w:val="008D6765"/>
    <w:rsid w:val="008E2023"/>
    <w:rsid w:val="0092614F"/>
    <w:rsid w:val="00974FE5"/>
    <w:rsid w:val="00992CFC"/>
    <w:rsid w:val="009B642A"/>
    <w:rsid w:val="009C1993"/>
    <w:rsid w:val="009D2121"/>
    <w:rsid w:val="00A22137"/>
    <w:rsid w:val="00A33C23"/>
    <w:rsid w:val="00A57235"/>
    <w:rsid w:val="00AA0913"/>
    <w:rsid w:val="00AA3723"/>
    <w:rsid w:val="00AE488E"/>
    <w:rsid w:val="00B073C4"/>
    <w:rsid w:val="00B23A89"/>
    <w:rsid w:val="00B249B3"/>
    <w:rsid w:val="00B441D7"/>
    <w:rsid w:val="00B7002C"/>
    <w:rsid w:val="00BB732F"/>
    <w:rsid w:val="00BD3359"/>
    <w:rsid w:val="00C24C1C"/>
    <w:rsid w:val="00C30A9F"/>
    <w:rsid w:val="00C564C2"/>
    <w:rsid w:val="00CA7688"/>
    <w:rsid w:val="00CB1479"/>
    <w:rsid w:val="00CF6058"/>
    <w:rsid w:val="00D03833"/>
    <w:rsid w:val="00D33F66"/>
    <w:rsid w:val="00D5671E"/>
    <w:rsid w:val="00D723B7"/>
    <w:rsid w:val="00D95DE3"/>
    <w:rsid w:val="00DA3F43"/>
    <w:rsid w:val="00DB1008"/>
    <w:rsid w:val="00DC2FDA"/>
    <w:rsid w:val="00E01207"/>
    <w:rsid w:val="00E01383"/>
    <w:rsid w:val="00E1589D"/>
    <w:rsid w:val="00E32EF7"/>
    <w:rsid w:val="00E42624"/>
    <w:rsid w:val="00E46472"/>
    <w:rsid w:val="00E84B03"/>
    <w:rsid w:val="00E92BD7"/>
    <w:rsid w:val="00E96C88"/>
    <w:rsid w:val="00EC187A"/>
    <w:rsid w:val="00EE01F2"/>
    <w:rsid w:val="00EF37E8"/>
    <w:rsid w:val="00EF5B8D"/>
    <w:rsid w:val="00F02330"/>
    <w:rsid w:val="00F20D51"/>
    <w:rsid w:val="00F21B51"/>
    <w:rsid w:val="00F3698A"/>
    <w:rsid w:val="00F41B65"/>
    <w:rsid w:val="00F7420C"/>
    <w:rsid w:val="00F76A30"/>
    <w:rsid w:val="00F875AA"/>
    <w:rsid w:val="00FA1C05"/>
    <w:rsid w:val="00FB5D38"/>
    <w:rsid w:val="00FD73D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294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979EB"/>
    <w:pPr>
      <w:spacing w:after="160" w:line="259" w:lineRule="auto"/>
    </w:pPr>
    <w:rPr>
      <w:sz w:val="22"/>
      <w:szCs w:val="22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A76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A7688"/>
  </w:style>
  <w:style w:type="paragraph" w:styleId="Footer">
    <w:name w:val="footer"/>
    <w:basedOn w:val="Normal"/>
    <w:link w:val="FooterChar"/>
    <w:uiPriority w:val="99"/>
    <w:unhideWhenUsed/>
    <w:rsid w:val="00CA76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A7688"/>
  </w:style>
  <w:style w:type="paragraph" w:styleId="BalloonText">
    <w:name w:val="Balloon Text"/>
    <w:basedOn w:val="Normal"/>
    <w:link w:val="BalloonTextChar"/>
    <w:uiPriority w:val="99"/>
    <w:semiHidden/>
    <w:unhideWhenUsed/>
    <w:rsid w:val="00CA768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CA7688"/>
    <w:rPr>
      <w:rFonts w:ascii="Segoe UI" w:hAnsi="Segoe UI" w:cs="Segoe UI"/>
      <w:sz w:val="18"/>
      <w:szCs w:val="18"/>
    </w:rPr>
  </w:style>
  <w:style w:type="paragraph" w:styleId="ListParagraph">
    <w:name w:val="List Paragraph"/>
    <w:basedOn w:val="Normal"/>
    <w:uiPriority w:val="34"/>
    <w:qFormat/>
    <w:rsid w:val="00FB5D38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5492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35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559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398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59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700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046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581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3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988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367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765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250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933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612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255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684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798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388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200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629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398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hart" Target="charts/chart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chart" Target="charts/chart3.xml"/><Relationship Id="rId4" Type="http://schemas.openxmlformats.org/officeDocument/2006/relationships/settings" Target="settings.xml"/><Relationship Id="rId9" Type="http://schemas.openxmlformats.org/officeDocument/2006/relationships/chart" Target="charts/chart2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1.xml"/><Relationship Id="rId1" Type="http://schemas.openxmlformats.org/officeDocument/2006/relationships/oleObject" Target="file:///C:\Users\-User\Desktop\Parc&#259;ri%20Tg.%20Sec\Parcari%20Tg.%20Sec..xlsx" TargetMode="External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2.xml"/><Relationship Id="rId1" Type="http://schemas.openxmlformats.org/officeDocument/2006/relationships/oleObject" Target="file:///C:\Users\-User\Desktop\Parc&#259;ri%20Tg.%20Sec\Parcari%20Tg.%20Sec..xlsx" TargetMode="Externa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-User\Desktop\Parc&#259;ri%20Tg.%20Sec\Parcari%20Tg.%20Sec.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en-GB"/>
  <c:chart>
    <c:view3D>
      <c:rAngAx val="1"/>
    </c:view3D>
    <c:plotArea>
      <c:layout>
        <c:manualLayout>
          <c:layoutTarget val="inner"/>
          <c:xMode val="edge"/>
          <c:yMode val="edge"/>
          <c:x val="0.165737995985796"/>
          <c:y val="0.1265018177680558"/>
          <c:w val="0.66942957130359326"/>
          <c:h val="0.69699763852638685"/>
        </c:manualLayout>
      </c:layout>
      <c:bar3DChart>
        <c:barDir val="col"/>
        <c:grouping val="clustered"/>
        <c:ser>
          <c:idx val="0"/>
          <c:order val="0"/>
          <c:cat>
            <c:strRef>
              <c:f>'2021'!$C$12:$C$23</c:f>
              <c:strCache>
                <c:ptCount val="12"/>
                <c:pt idx="0">
                  <c:v>IANUARIE</c:v>
                </c:pt>
                <c:pt idx="1">
                  <c:v>FEBRUARIE</c:v>
                </c:pt>
                <c:pt idx="2">
                  <c:v>MARTIE</c:v>
                </c:pt>
                <c:pt idx="3">
                  <c:v>APRILIE</c:v>
                </c:pt>
                <c:pt idx="4">
                  <c:v>MAI</c:v>
                </c:pt>
                <c:pt idx="5">
                  <c:v>IUNIE</c:v>
                </c:pt>
                <c:pt idx="6">
                  <c:v>IULIE</c:v>
                </c:pt>
                <c:pt idx="7">
                  <c:v>AUGUST</c:v>
                </c:pt>
                <c:pt idx="8">
                  <c:v>SEPTEMBRIE</c:v>
                </c:pt>
                <c:pt idx="9">
                  <c:v>OCTOMBRIE</c:v>
                </c:pt>
                <c:pt idx="10">
                  <c:v>NOIEMBRIE</c:v>
                </c:pt>
                <c:pt idx="11">
                  <c:v>DECEMBRIE</c:v>
                </c:pt>
              </c:strCache>
            </c:strRef>
          </c:cat>
          <c:val>
            <c:numRef>
              <c:f>'2021'!$I$12:$I$23</c:f>
              <c:numCache>
                <c:formatCode>#,##0.00</c:formatCode>
                <c:ptCount val="12"/>
                <c:pt idx="0">
                  <c:v>778.39</c:v>
                </c:pt>
                <c:pt idx="1">
                  <c:v>1200</c:v>
                </c:pt>
                <c:pt idx="2">
                  <c:v>1356.31</c:v>
                </c:pt>
                <c:pt idx="3">
                  <c:v>1301.46</c:v>
                </c:pt>
                <c:pt idx="4">
                  <c:v>1397</c:v>
                </c:pt>
                <c:pt idx="5">
                  <c:v>1496.05</c:v>
                </c:pt>
                <c:pt idx="6">
                  <c:v>1660.91</c:v>
                </c:pt>
                <c:pt idx="7">
                  <c:v>1907</c:v>
                </c:pt>
                <c:pt idx="8">
                  <c:v>1744</c:v>
                </c:pt>
                <c:pt idx="9">
                  <c:v>1512</c:v>
                </c:pt>
                <c:pt idx="10">
                  <c:v>1631</c:v>
                </c:pt>
                <c:pt idx="11">
                  <c:v>1566</c:v>
                </c:pt>
              </c:numCache>
            </c:numRef>
          </c:val>
        </c:ser>
        <c:shape val="box"/>
        <c:axId val="36852480"/>
        <c:axId val="36854016"/>
        <c:axId val="0"/>
      </c:bar3DChart>
      <c:catAx>
        <c:axId val="36852480"/>
        <c:scaling>
          <c:orientation val="minMax"/>
        </c:scaling>
        <c:axPos val="b"/>
        <c:tickLblPos val="nextTo"/>
        <c:crossAx val="36854016"/>
        <c:crosses val="autoZero"/>
        <c:auto val="1"/>
        <c:lblAlgn val="ctr"/>
        <c:lblOffset val="100"/>
      </c:catAx>
      <c:valAx>
        <c:axId val="36854016"/>
        <c:scaling>
          <c:orientation val="minMax"/>
        </c:scaling>
        <c:axPos val="l"/>
        <c:majorGridlines/>
        <c:numFmt formatCode="#,##0.00" sourceLinked="1"/>
        <c:tickLblPos val="nextTo"/>
        <c:crossAx val="36852480"/>
        <c:crosses val="autoZero"/>
        <c:crossBetween val="between"/>
      </c:valAx>
    </c:plotArea>
    <c:plotVisOnly val="1"/>
  </c:chart>
  <c:externalData r:id="rId1"/>
  <c:userShapes r:id="rId2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en-GB"/>
  <c:style val="5"/>
  <c:chart>
    <c:view3D>
      <c:rAngAx val="1"/>
    </c:view3D>
    <c:plotArea>
      <c:layout>
        <c:manualLayout>
          <c:layoutTarget val="inner"/>
          <c:xMode val="edge"/>
          <c:yMode val="edge"/>
          <c:x val="0.16884951881014873"/>
          <c:y val="0.18608178156003594"/>
          <c:w val="0.65534623797025371"/>
          <c:h val="0.69328361809926953"/>
        </c:manualLayout>
      </c:layout>
      <c:bar3DChart>
        <c:barDir val="col"/>
        <c:grouping val="clustered"/>
        <c:ser>
          <c:idx val="0"/>
          <c:order val="0"/>
          <c:cat>
            <c:strRef>
              <c:f>'2021'!$C$12:$C$23</c:f>
              <c:strCache>
                <c:ptCount val="12"/>
                <c:pt idx="0">
                  <c:v>IANUARIE</c:v>
                </c:pt>
                <c:pt idx="1">
                  <c:v>FEBRUARIE</c:v>
                </c:pt>
                <c:pt idx="2">
                  <c:v>MARTIE</c:v>
                </c:pt>
                <c:pt idx="3">
                  <c:v>APRILIE</c:v>
                </c:pt>
                <c:pt idx="4">
                  <c:v>MAI</c:v>
                </c:pt>
                <c:pt idx="5">
                  <c:v>IUNIE</c:v>
                </c:pt>
                <c:pt idx="6">
                  <c:v>IULIE</c:v>
                </c:pt>
                <c:pt idx="7">
                  <c:v>AUGUST</c:v>
                </c:pt>
                <c:pt idx="8">
                  <c:v>SEPTEMBRIE</c:v>
                </c:pt>
                <c:pt idx="9">
                  <c:v>OCTOMBRIE</c:v>
                </c:pt>
                <c:pt idx="10">
                  <c:v>NOIEMBRIE</c:v>
                </c:pt>
                <c:pt idx="11">
                  <c:v>DECEMBRIE</c:v>
                </c:pt>
              </c:strCache>
            </c:strRef>
          </c:cat>
          <c:val>
            <c:numRef>
              <c:f>'2021'!$F$12:$F$23</c:f>
              <c:numCache>
                <c:formatCode>#,##0.00</c:formatCode>
                <c:ptCount val="12"/>
                <c:pt idx="0">
                  <c:v>13252</c:v>
                </c:pt>
                <c:pt idx="1">
                  <c:v>14070</c:v>
                </c:pt>
                <c:pt idx="2">
                  <c:v>16505</c:v>
                </c:pt>
                <c:pt idx="3">
                  <c:v>15134.2</c:v>
                </c:pt>
                <c:pt idx="4">
                  <c:v>18469</c:v>
                </c:pt>
                <c:pt idx="5">
                  <c:v>15503.9</c:v>
                </c:pt>
                <c:pt idx="6">
                  <c:v>17025</c:v>
                </c:pt>
                <c:pt idx="7">
                  <c:v>18913.5</c:v>
                </c:pt>
                <c:pt idx="8">
                  <c:v>17123</c:v>
                </c:pt>
                <c:pt idx="9">
                  <c:v>14665</c:v>
                </c:pt>
                <c:pt idx="10">
                  <c:v>13243.8</c:v>
                </c:pt>
                <c:pt idx="11">
                  <c:v>16485</c:v>
                </c:pt>
              </c:numCache>
            </c:numRef>
          </c:val>
        </c:ser>
        <c:shape val="box"/>
        <c:axId val="36895360"/>
        <c:axId val="37032320"/>
        <c:axId val="0"/>
      </c:bar3DChart>
      <c:catAx>
        <c:axId val="36895360"/>
        <c:scaling>
          <c:orientation val="minMax"/>
        </c:scaling>
        <c:axPos val="b"/>
        <c:tickLblPos val="nextTo"/>
        <c:crossAx val="37032320"/>
        <c:crosses val="autoZero"/>
        <c:auto val="1"/>
        <c:lblAlgn val="ctr"/>
        <c:lblOffset val="100"/>
      </c:catAx>
      <c:valAx>
        <c:axId val="37032320"/>
        <c:scaling>
          <c:orientation val="minMax"/>
        </c:scaling>
        <c:axPos val="l"/>
        <c:majorGridlines/>
        <c:numFmt formatCode="#,##0.00" sourceLinked="1"/>
        <c:tickLblPos val="nextTo"/>
        <c:crossAx val="36895360"/>
        <c:crosses val="autoZero"/>
        <c:crossBetween val="between"/>
      </c:valAx>
    </c:plotArea>
    <c:plotVisOnly val="1"/>
  </c:chart>
  <c:spPr>
    <a:solidFill>
      <a:sysClr val="window" lastClr="FFFFFF"/>
    </a:solidFill>
    <a:ln>
      <a:solidFill>
        <a:schemeClr val="accent1"/>
      </a:solidFill>
    </a:ln>
  </c:spPr>
  <c:txPr>
    <a:bodyPr/>
    <a:lstStyle/>
    <a:p>
      <a:pPr>
        <a:defRPr>
          <a:solidFill>
            <a:sysClr val="windowText" lastClr="000000"/>
          </a:solidFill>
        </a:defRPr>
      </a:pPr>
      <a:endParaRPr lang="en-US"/>
    </a:p>
  </c:txPr>
  <c:externalData r:id="rId1"/>
  <c:userShapes r:id="rId2"/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en-GB"/>
  <c:style val="8"/>
  <c:chart>
    <c:title>
      <c:tx>
        <c:rich>
          <a:bodyPr/>
          <a:lstStyle/>
          <a:p>
            <a:pPr>
              <a:defRPr/>
            </a:pPr>
            <a:r>
              <a:rPr lang="en-US">
                <a:solidFill>
                  <a:schemeClr val="accent6">
                    <a:lumMod val="75000"/>
                  </a:schemeClr>
                </a:solidFill>
              </a:rPr>
              <a:t>ABONAMENT DE PARCARE</a:t>
            </a:r>
          </a:p>
        </c:rich>
      </c:tx>
      <c:layout>
        <c:manualLayout>
          <c:xMode val="edge"/>
          <c:yMode val="edge"/>
          <c:x val="0.21654855643044718"/>
          <c:y val="4.7619047619047623E-2"/>
        </c:manualLayout>
      </c:layout>
    </c:title>
    <c:view3D>
      <c:rAngAx val="1"/>
    </c:view3D>
    <c:plotArea>
      <c:layout>
        <c:manualLayout>
          <c:layoutTarget val="inner"/>
          <c:xMode val="edge"/>
          <c:yMode val="edge"/>
          <c:x val="0.16884951881014873"/>
          <c:y val="0.18352571313201241"/>
          <c:w val="0.65534623797025371"/>
          <c:h val="0.69749675521329069"/>
        </c:manualLayout>
      </c:layout>
      <c:bar3DChart>
        <c:barDir val="col"/>
        <c:grouping val="clustered"/>
        <c:ser>
          <c:idx val="0"/>
          <c:order val="0"/>
          <c:cat>
            <c:strRef>
              <c:f>'2021'!$C$12:$C$23</c:f>
              <c:strCache>
                <c:ptCount val="12"/>
                <c:pt idx="0">
                  <c:v>IANUARIE</c:v>
                </c:pt>
                <c:pt idx="1">
                  <c:v>FEBRUARIE</c:v>
                </c:pt>
                <c:pt idx="2">
                  <c:v>MARTIE</c:v>
                </c:pt>
                <c:pt idx="3">
                  <c:v>APRILIE</c:v>
                </c:pt>
                <c:pt idx="4">
                  <c:v>MAI</c:v>
                </c:pt>
                <c:pt idx="5">
                  <c:v>IUNIE</c:v>
                </c:pt>
                <c:pt idx="6">
                  <c:v>IULIE</c:v>
                </c:pt>
                <c:pt idx="7">
                  <c:v>AUGUST</c:v>
                </c:pt>
                <c:pt idx="8">
                  <c:v>SEPTEMBRIE</c:v>
                </c:pt>
                <c:pt idx="9">
                  <c:v>OCTOMBRIE</c:v>
                </c:pt>
                <c:pt idx="10">
                  <c:v>NOIEMBRIE</c:v>
                </c:pt>
                <c:pt idx="11">
                  <c:v>DECEMBRIE</c:v>
                </c:pt>
              </c:strCache>
            </c:strRef>
          </c:cat>
          <c:val>
            <c:numRef>
              <c:f>'2021'!$D$12:$D$23</c:f>
              <c:numCache>
                <c:formatCode>#,##0.00</c:formatCode>
                <c:ptCount val="12"/>
                <c:pt idx="0">
                  <c:v>7504</c:v>
                </c:pt>
                <c:pt idx="1">
                  <c:v>3207</c:v>
                </c:pt>
                <c:pt idx="2">
                  <c:v>4863</c:v>
                </c:pt>
                <c:pt idx="3">
                  <c:v>3109</c:v>
                </c:pt>
                <c:pt idx="4">
                  <c:v>2894</c:v>
                </c:pt>
                <c:pt idx="5">
                  <c:v>5107.7</c:v>
                </c:pt>
                <c:pt idx="6">
                  <c:v>9139</c:v>
                </c:pt>
                <c:pt idx="7">
                  <c:v>10063</c:v>
                </c:pt>
                <c:pt idx="8">
                  <c:v>3192</c:v>
                </c:pt>
                <c:pt idx="9">
                  <c:v>2418</c:v>
                </c:pt>
                <c:pt idx="10">
                  <c:v>2092</c:v>
                </c:pt>
                <c:pt idx="11">
                  <c:v>11497</c:v>
                </c:pt>
              </c:numCache>
            </c:numRef>
          </c:val>
        </c:ser>
        <c:shape val="box"/>
        <c:axId val="36882688"/>
        <c:axId val="37044224"/>
        <c:axId val="0"/>
      </c:bar3DChart>
      <c:catAx>
        <c:axId val="36882688"/>
        <c:scaling>
          <c:orientation val="minMax"/>
        </c:scaling>
        <c:axPos val="b"/>
        <c:tickLblPos val="nextTo"/>
        <c:crossAx val="37044224"/>
        <c:crosses val="autoZero"/>
        <c:auto val="1"/>
        <c:lblAlgn val="ctr"/>
        <c:lblOffset val="100"/>
      </c:catAx>
      <c:valAx>
        <c:axId val="37044224"/>
        <c:scaling>
          <c:orientation val="minMax"/>
        </c:scaling>
        <c:axPos val="l"/>
        <c:majorGridlines/>
        <c:numFmt formatCode="#,##0.00" sourceLinked="1"/>
        <c:tickLblPos val="nextTo"/>
        <c:crossAx val="36882688"/>
        <c:crosses val="autoZero"/>
        <c:crossBetween val="between"/>
      </c:valAx>
    </c:plotArea>
    <c:plotVisOnly val="1"/>
  </c:chart>
  <c:externalData r:id="rId1"/>
</c:chartSpac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0.20381</cdr:x>
      <cdr:y>0.03219</cdr:y>
    </cdr:from>
    <cdr:to>
      <cdr:x>0.74082</cdr:x>
      <cdr:y>0.13682</cdr:y>
    </cdr:to>
    <cdr:sp macro="" textlink="">
      <cdr:nvSpPr>
        <cdr:cNvPr id="2" name="Rectangle 1"/>
        <cdr:cNvSpPr/>
      </cdr:nvSpPr>
      <cdr:spPr>
        <a:xfrm xmlns:a="http://schemas.openxmlformats.org/drawingml/2006/main">
          <a:off x="931799" y="110077"/>
          <a:ext cx="2455224" cy="357790"/>
        </a:xfrm>
        <a:prstGeom xmlns:a="http://schemas.openxmlformats.org/drawingml/2006/main" prst="rect">
          <a:avLst/>
        </a:prstGeom>
        <a:noFill xmlns:a="http://schemas.openxmlformats.org/drawingml/2006/main"/>
      </cdr:spPr>
      <cdr:txBody>
        <a:bodyPr xmlns:a="http://schemas.openxmlformats.org/drawingml/2006/main" wrap="none" lIns="91440" tIns="45720" rIns="91440" bIns="45720">
          <a:spAutoFit/>
        </a:bodyPr>
        <a:lstStyle xmlns:a="http://schemas.openxmlformats.org/drawingml/2006/main"/>
        <a:p xmlns:a="http://schemas.openxmlformats.org/drawingml/2006/main">
          <a:pPr algn="ctr"/>
          <a:r>
            <a:rPr lang="en-US" sz="1800" b="1" cap="none" spc="0">
              <a:ln w="12700">
                <a:solidFill>
                  <a:schemeClr val="tx2">
                    <a:satMod val="155000"/>
                  </a:schemeClr>
                </a:solidFill>
                <a:prstDash val="solid"/>
              </a:ln>
              <a:solidFill>
                <a:schemeClr val="tx2">
                  <a:lumMod val="60000"/>
                  <a:lumOff val="40000"/>
                </a:schemeClr>
              </a:solidFill>
              <a:effectLst>
                <a:outerShdw blurRad="41275" dist="20320" dir="1800000" algn="tl" rotWithShape="0">
                  <a:srgbClr val="000000">
                    <a:alpha val="40000"/>
                  </a:srgbClr>
                </a:outerShdw>
              </a:effectLst>
              <a:latin typeface="Times New Roman" pitchFamily="18" charset="0"/>
              <a:cs typeface="Times New Roman" pitchFamily="18" charset="0"/>
            </a:rPr>
            <a:t>SERVICII</a:t>
          </a:r>
          <a:r>
            <a:rPr lang="en-US" sz="1800" b="1" cap="none" spc="0" baseline="0">
              <a:ln w="12700">
                <a:solidFill>
                  <a:schemeClr val="tx2">
                    <a:satMod val="155000"/>
                  </a:schemeClr>
                </a:solidFill>
                <a:prstDash val="solid"/>
              </a:ln>
              <a:solidFill>
                <a:schemeClr val="tx2">
                  <a:lumMod val="60000"/>
                  <a:lumOff val="40000"/>
                </a:schemeClr>
              </a:solidFill>
              <a:effectLst>
                <a:outerShdw blurRad="41275" dist="20320" dir="1800000" algn="tl" rotWithShape="0">
                  <a:srgbClr val="000000">
                    <a:alpha val="40000"/>
                  </a:srgbClr>
                </a:outerShdw>
              </a:effectLst>
              <a:latin typeface="Times New Roman" pitchFamily="18" charset="0"/>
              <a:cs typeface="Times New Roman" pitchFamily="18" charset="0"/>
            </a:rPr>
            <a:t> Tpark SMS</a:t>
          </a:r>
          <a:endParaRPr lang="en-US" sz="1800" b="1" cap="none" spc="0">
            <a:ln w="12700">
              <a:solidFill>
                <a:schemeClr val="tx2">
                  <a:satMod val="155000"/>
                </a:schemeClr>
              </a:solidFill>
              <a:prstDash val="solid"/>
            </a:ln>
            <a:solidFill>
              <a:schemeClr val="tx2">
                <a:lumMod val="60000"/>
                <a:lumOff val="40000"/>
              </a:schemeClr>
            </a:solidFill>
            <a:effectLst>
              <a:outerShdw blurRad="41275" dist="20320" dir="1800000" algn="tl" rotWithShape="0">
                <a:srgbClr val="000000">
                  <a:alpha val="40000"/>
                </a:srgbClr>
              </a:outerShdw>
            </a:effectLst>
            <a:latin typeface="Times New Roman" pitchFamily="18" charset="0"/>
            <a:cs typeface="Times New Roman" pitchFamily="18" charset="0"/>
          </a:endParaRPr>
        </a:p>
      </cdr:txBody>
    </cdr:sp>
  </cdr:relSizeAnchor>
</c:userShapes>
</file>

<file path=word/drawings/drawing2.xml><?xml version="1.0" encoding="utf-8"?>
<c:userShapes xmlns:c="http://schemas.openxmlformats.org/drawingml/2006/chart">
  <cdr:relSizeAnchor xmlns:cdr="http://schemas.openxmlformats.org/drawingml/2006/chartDrawing">
    <cdr:from>
      <cdr:x>0.10833</cdr:x>
      <cdr:y>0.05448</cdr:y>
    </cdr:from>
    <cdr:to>
      <cdr:x>0.89167</cdr:x>
      <cdr:y>0.15911</cdr:y>
    </cdr:to>
    <cdr:sp macro="" textlink="">
      <cdr:nvSpPr>
        <cdr:cNvPr id="2" name="Rectangle 1"/>
        <cdr:cNvSpPr/>
      </cdr:nvSpPr>
      <cdr:spPr>
        <a:xfrm xmlns:a="http://schemas.openxmlformats.org/drawingml/2006/main">
          <a:off x="495300" y="186277"/>
          <a:ext cx="3581399" cy="357790"/>
        </a:xfrm>
        <a:prstGeom xmlns:a="http://schemas.openxmlformats.org/drawingml/2006/main" prst="rect">
          <a:avLst/>
        </a:prstGeom>
        <a:solidFill xmlns:a="http://schemas.openxmlformats.org/drawingml/2006/main">
          <a:sysClr val="window" lastClr="FFFFFF"/>
        </a:solidFill>
      </cdr:spPr>
      <cdr:txBody>
        <a:bodyPr xmlns:a="http://schemas.openxmlformats.org/drawingml/2006/main" wrap="square" lIns="91440" tIns="45720" rIns="91440" bIns="45720">
          <a:spAutoFit/>
        </a:bodyPr>
        <a:lstStyle xmlns:a="http://schemas.openxmlformats.org/drawingml/2006/main"/>
        <a:p xmlns:a="http://schemas.openxmlformats.org/drawingml/2006/main">
          <a:pPr algn="ctr"/>
          <a:r>
            <a:rPr lang="en-US" sz="1800" b="0" cap="none" spc="0">
              <a:ln w="12700">
                <a:solidFill>
                  <a:schemeClr val="tx2">
                    <a:satMod val="155000"/>
                  </a:schemeClr>
                </a:solidFill>
                <a:prstDash val="solid"/>
              </a:ln>
              <a:solidFill>
                <a:schemeClr val="accent3"/>
              </a:solidFill>
              <a:effectLst>
                <a:outerShdw blurRad="41275" dist="20320" dir="1800000" algn="tl" rotWithShape="0">
                  <a:srgbClr val="000000">
                    <a:alpha val="40000"/>
                  </a:srgbClr>
                </a:outerShdw>
              </a:effectLst>
              <a:latin typeface="Times New Roman" pitchFamily="18" charset="0"/>
              <a:cs typeface="Times New Roman" pitchFamily="18" charset="0"/>
            </a:rPr>
            <a:t>TICHETE DE PARCARE</a:t>
          </a:r>
        </a:p>
      </cdr:txBody>
    </cdr:sp>
  </cdr:relSizeAnchor>
</c:userShape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50A18AA-619B-4785-982E-A4AC8EBBE2D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437</TotalTime>
  <Pages>2</Pages>
  <Words>209</Words>
  <Characters>1194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1401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Menessy Kinga</dc:creator>
  <cp:lastModifiedBy>Politia Locala</cp:lastModifiedBy>
  <cp:revision>62</cp:revision>
  <cp:lastPrinted>2019-01-03T08:56:00Z</cp:lastPrinted>
  <dcterms:created xsi:type="dcterms:W3CDTF">2019-09-23T10:47:00Z</dcterms:created>
  <dcterms:modified xsi:type="dcterms:W3CDTF">2022-02-15T06:59:00Z</dcterms:modified>
</cp:coreProperties>
</file>