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BBD64" w14:textId="2E2B320C" w:rsidR="004D4F4B" w:rsidRPr="00BD3655" w:rsidRDefault="004D4F4B" w:rsidP="00BA1B5C">
      <w:pPr>
        <w:pStyle w:val="Heading5"/>
        <w:tabs>
          <w:tab w:val="clear" w:pos="992"/>
        </w:tabs>
        <w:spacing w:before="0" w:after="120"/>
        <w:ind w:left="709" w:firstLine="0"/>
        <w:jc w:val="both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 xml:space="preserve">ANEXA </w:t>
      </w:r>
      <w:r w:rsidR="00AF3D05">
        <w:rPr>
          <w:i w:val="0"/>
          <w:sz w:val="24"/>
          <w:szCs w:val="24"/>
        </w:rPr>
        <w:t>la Caietul de sarcini</w:t>
      </w:r>
    </w:p>
    <w:p w14:paraId="00BD9E57" w14:textId="11A2562C" w:rsidR="004D4F4B" w:rsidRPr="00BD3655" w:rsidRDefault="001A286B" w:rsidP="004D4F4B">
      <w:pPr>
        <w:tabs>
          <w:tab w:val="num" w:pos="1701"/>
        </w:tabs>
        <w:spacing w:after="120"/>
        <w:jc w:val="center"/>
      </w:pPr>
      <w:r>
        <w:t>Caiet de sarcini</w:t>
      </w:r>
    </w:p>
    <w:p w14:paraId="0570307F" w14:textId="0EF262C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 xml:space="preserve">INDICATORI DE PERFORMANŢĂ </w:t>
      </w:r>
      <w:r w:rsidR="003129D9">
        <w:rPr>
          <w:i w:val="0"/>
          <w:sz w:val="24"/>
          <w:szCs w:val="24"/>
        </w:rPr>
        <w:t>Ș</w:t>
      </w:r>
      <w:r w:rsidRPr="00BD3655">
        <w:rPr>
          <w:i w:val="0"/>
          <w:sz w:val="24"/>
          <w:szCs w:val="24"/>
        </w:rPr>
        <w:t>I TEHNICI</w:t>
      </w:r>
    </w:p>
    <w:p w14:paraId="3C013727" w14:textId="7777777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>PENTRU SERVICIUL PUBLIC DE SALUBRIZARE</w:t>
      </w:r>
    </w:p>
    <w:p w14:paraId="15ADAF4A" w14:textId="77777777" w:rsidR="004D4F4B" w:rsidRPr="00BD3655" w:rsidRDefault="004D4F4B" w:rsidP="004D4F4B">
      <w:pPr>
        <w:rPr>
          <w:sz w:val="16"/>
          <w:szCs w:val="16"/>
        </w:rPr>
      </w:pPr>
    </w:p>
    <w:p w14:paraId="432A757C" w14:textId="496B26C5" w:rsidR="004D4F4B" w:rsidRPr="000E31B4" w:rsidRDefault="000E31B4" w:rsidP="000E31B4">
      <w:pPr>
        <w:jc w:val="center"/>
        <w:rPr>
          <w:rFonts w:ascii="Device Font 10cpi" w:eastAsia="Times New Roman" w:hAnsi="Device Font 10cpi" w:cs="Device Font 10cpi"/>
          <w:b/>
          <w:sz w:val="28"/>
          <w:szCs w:val="28"/>
        </w:rPr>
      </w:pPr>
      <w:r>
        <w:rPr>
          <w:rFonts w:ascii="Device Font 10cpi" w:eastAsia="Times New Roman" w:hAnsi="Device Font 10cpi" w:cs="Device Font 10cpi"/>
          <w:b/>
        </w:rPr>
        <w:t>M</w:t>
      </w:r>
      <w:r w:rsidRPr="006B4E0F">
        <w:rPr>
          <w:rFonts w:ascii="Device Font 10cpi" w:eastAsia="Times New Roman" w:hAnsi="Device Font 10cpi" w:cs="Device Font 10cpi"/>
          <w:b/>
          <w:lang w:val="ro-RO"/>
        </w:rPr>
        <w:t>ăturat</w:t>
      </w:r>
      <w:r w:rsidRPr="00D36E63">
        <w:rPr>
          <w:rFonts w:eastAsia="Calibri"/>
          <w:b/>
          <w:bCs/>
        </w:rPr>
        <w:t>, spălat, 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</w:r>
      <w:r w:rsidR="00634EAA">
        <w:t>:</w:t>
      </w:r>
    </w:p>
    <w:tbl>
      <w:tblPr>
        <w:tblpPr w:leftFromText="180" w:rightFromText="180" w:vertAnchor="text" w:horzAnchor="page" w:tblpX="838" w:tblpY="27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933"/>
        <w:gridCol w:w="4387"/>
        <w:gridCol w:w="1643"/>
      </w:tblGrid>
      <w:tr w:rsidR="004D4F4B" w:rsidRPr="00BD3655" w14:paraId="094C268E" w14:textId="77777777" w:rsidTr="00816E8F">
        <w:trPr>
          <w:tblHeader/>
        </w:trPr>
        <w:tc>
          <w:tcPr>
            <w:tcW w:w="1135" w:type="dxa"/>
            <w:shd w:val="clear" w:color="auto" w:fill="E6E6E6"/>
            <w:vAlign w:val="center"/>
          </w:tcPr>
          <w:p w14:paraId="4EE9FA73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Nr.</w:t>
            </w:r>
          </w:p>
        </w:tc>
        <w:tc>
          <w:tcPr>
            <w:tcW w:w="2933" w:type="dxa"/>
            <w:shd w:val="clear" w:color="auto" w:fill="E6E6E6"/>
            <w:vAlign w:val="center"/>
          </w:tcPr>
          <w:p w14:paraId="0139F6E8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Titlu</w:t>
            </w:r>
          </w:p>
        </w:tc>
        <w:tc>
          <w:tcPr>
            <w:tcW w:w="4387" w:type="dxa"/>
            <w:shd w:val="clear" w:color="auto" w:fill="E6E6E6"/>
            <w:vAlign w:val="center"/>
          </w:tcPr>
          <w:p w14:paraId="27C1CFB1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Descriere</w:t>
            </w:r>
          </w:p>
        </w:tc>
        <w:tc>
          <w:tcPr>
            <w:tcW w:w="1643" w:type="dxa"/>
            <w:shd w:val="clear" w:color="auto" w:fill="E6E6E6"/>
            <w:vAlign w:val="center"/>
          </w:tcPr>
          <w:p w14:paraId="51496FA0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Unitate de măsură</w:t>
            </w:r>
          </w:p>
        </w:tc>
      </w:tr>
      <w:tr w:rsidR="004D4F4B" w:rsidRPr="00BD3655" w14:paraId="6227C979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051C969" w14:textId="77777777" w:rsidR="00C90BE9" w:rsidRDefault="00C90BE9" w:rsidP="00C669B6">
            <w:pPr>
              <w:ind w:left="360"/>
              <w:rPr>
                <w:b/>
                <w:noProof/>
              </w:rPr>
            </w:pPr>
          </w:p>
          <w:p w14:paraId="34B7EA08" w14:textId="1EDD0692" w:rsidR="004D4F4B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INDICATORI DE PERFORMANTA</w:t>
            </w:r>
            <w:r w:rsidR="00634EAA">
              <w:rPr>
                <w:b/>
                <w:noProof/>
              </w:rPr>
              <w:t xml:space="preserve"> GENERALI</w:t>
            </w:r>
          </w:p>
          <w:tbl>
            <w:tblPr>
              <w:tblpPr w:leftFromText="180" w:rightFromText="180" w:vertAnchor="text" w:horzAnchor="page" w:tblpX="838" w:tblpY="276"/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  <w:gridCol w:w="2933"/>
              <w:gridCol w:w="4770"/>
              <w:gridCol w:w="1260"/>
            </w:tblGrid>
            <w:tr w:rsidR="004D10A4" w:rsidRPr="00BD3655" w14:paraId="4E40C46B" w14:textId="77777777" w:rsidTr="00C669B6">
              <w:tc>
                <w:tcPr>
                  <w:tcW w:w="10098" w:type="dxa"/>
                  <w:gridSpan w:val="4"/>
                  <w:shd w:val="clear" w:color="auto" w:fill="BFBFBF"/>
                  <w:vAlign w:val="center"/>
                </w:tcPr>
                <w:p w14:paraId="5AFD9B6E" w14:textId="27F883B4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 xml:space="preserve"> Rata de acoperire a serviciului de salubrizare</w:t>
                  </w:r>
                </w:p>
              </w:tc>
            </w:tr>
            <w:tr w:rsidR="004D10A4" w:rsidRPr="00BD3655" w14:paraId="34BF7172" w14:textId="77777777" w:rsidTr="004D10A4">
              <w:tc>
                <w:tcPr>
                  <w:tcW w:w="1135" w:type="dxa"/>
                  <w:shd w:val="clear" w:color="auto" w:fill="FFFFFF" w:themeFill="background1"/>
                  <w:vAlign w:val="center"/>
                </w:tcPr>
                <w:p w14:paraId="25BC2792" w14:textId="76C12D1D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>.1</w:t>
                  </w:r>
                </w:p>
              </w:tc>
              <w:tc>
                <w:tcPr>
                  <w:tcW w:w="2933" w:type="dxa"/>
                  <w:shd w:val="clear" w:color="auto" w:fill="FFFFFF" w:themeFill="background1"/>
                  <w:vAlign w:val="center"/>
                </w:tcPr>
                <w:p w14:paraId="3E46D8B1" w14:textId="77777777" w:rsidR="004D10A4" w:rsidRPr="00BD3655" w:rsidRDefault="004D10A4" w:rsidP="004D10A4">
                  <w:pPr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Rata de acoperire a serviciului de salubrizare</w:t>
                  </w:r>
                </w:p>
              </w:tc>
              <w:tc>
                <w:tcPr>
                  <w:tcW w:w="4770" w:type="dxa"/>
                  <w:shd w:val="clear" w:color="auto" w:fill="FFFFFF" w:themeFill="background1"/>
                  <w:vAlign w:val="center"/>
                </w:tcPr>
                <w:p w14:paraId="3EF3D12C" w14:textId="37DE315E" w:rsidR="004D10A4" w:rsidRPr="000E31B4" w:rsidRDefault="004D10A4" w:rsidP="000E31B4">
                  <w:pPr>
                    <w:jc w:val="center"/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</w:pPr>
                  <w:r w:rsidRPr="00BD3655">
                    <w:rPr>
                      <w:noProof/>
                    </w:rPr>
                    <w:t xml:space="preserve">Populatia care beneficiaza de </w:t>
                  </w:r>
                  <w:r w:rsidR="000E31B4">
                    <w:rPr>
                      <w:noProof/>
                    </w:rPr>
                    <w:t>activitatea de măturat, spălat</w:t>
                  </w:r>
                  <w:r w:rsidR="000E31B4" w:rsidRPr="00D36E63">
                    <w:rPr>
                      <w:rFonts w:eastAsia="Calibri"/>
                      <w:b/>
                      <w:bCs/>
                    </w:rPr>
                    <w:t xml:space="preserve">, </w:t>
                  </w:r>
                  <w:r w:rsidR="000E31B4" w:rsidRPr="000E31B4">
                    <w:rPr>
                      <w:rFonts w:eastAsia="Calibri"/>
                    </w:rPr>
      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      </w:r>
                  <w:r w:rsidR="000E31B4"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  <w:t xml:space="preserve"> </w:t>
                  </w:r>
                  <w:r w:rsidRPr="00BD3655">
                    <w:rPr>
                      <w:noProof/>
                    </w:rPr>
                    <w:t>la nivel de unitate teritorial administrativa (</w:t>
                  </w:r>
                  <w:r w:rsidRPr="00BD3655">
                    <w:rPr>
                      <w:b/>
                      <w:noProof/>
                    </w:rPr>
                    <w:t>%</w:t>
                  </w:r>
                  <w:r w:rsidRPr="00BD3655">
                    <w:rPr>
                      <w:noProof/>
                    </w:rPr>
                    <w:t>)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2AAC5AC7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  <w:r w:rsidRPr="00BD3655">
                    <w:rPr>
                      <w:b/>
                      <w:noProof/>
                      <w:sz w:val="16"/>
                      <w:szCs w:val="16"/>
                    </w:rPr>
                    <w:t>100 %</w:t>
                  </w:r>
                </w:p>
                <w:p w14:paraId="31235D4F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</w:p>
              </w:tc>
            </w:tr>
          </w:tbl>
          <w:p w14:paraId="496FD413" w14:textId="49932D09" w:rsidR="004D10A4" w:rsidRPr="00BD3655" w:rsidRDefault="004D10A4" w:rsidP="00C669B6">
            <w:pPr>
              <w:ind w:left="360"/>
              <w:rPr>
                <w:b/>
                <w:noProof/>
              </w:rPr>
            </w:pPr>
          </w:p>
        </w:tc>
      </w:tr>
      <w:tr w:rsidR="004D4F4B" w:rsidRPr="00BD3655" w14:paraId="7772B6B7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B69085E" w14:textId="413E1A8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 xml:space="preserve"> </w:t>
            </w:r>
            <w:r w:rsidR="00634EAA">
              <w:rPr>
                <w:b/>
                <w:noProof/>
              </w:rPr>
              <w:t>Contractarea</w:t>
            </w:r>
            <w:r w:rsidR="001B0FFD">
              <w:rPr>
                <w:b/>
                <w:noProof/>
              </w:rPr>
              <w:t xml:space="preserve"> serviciilor </w:t>
            </w:r>
            <w:r w:rsidR="001B0FFD" w:rsidRPr="001B0FFD">
              <w:rPr>
                <w:bCs/>
                <w:noProof/>
              </w:rPr>
              <w:t xml:space="preserve">de </w:t>
            </w:r>
            <w:r w:rsidR="00AE5AD9">
              <w:rPr>
                <w:noProof/>
              </w:rPr>
              <w:t>măturat, spălat</w:t>
            </w:r>
            <w:r w:rsidR="00AE5AD9" w:rsidRPr="00D36E63">
              <w:rPr>
                <w:rFonts w:eastAsia="Calibri"/>
                <w:b/>
                <w:bCs/>
              </w:rPr>
              <w:t xml:space="preserve">, </w:t>
            </w:r>
            <w:r w:rsidR="00AE5AD9" w:rsidRPr="000E31B4">
              <w:rPr>
                <w:rFonts w:eastAsia="Calibri"/>
              </w:rPr>
              <w:t>stropit al căilor publice din localitate, inclusiv colectarea și transportul deșeurilor de pământ și pietre provenite de pe căile publice la depozitele de deșeuri, precum și a deșeurilor provenite din coșurile stradale la depozitele de deșeuri și/sau la instalațiile de tratare</w:t>
            </w:r>
            <w:r w:rsidR="002C2D9D">
              <w:rPr>
                <w:b/>
                <w:noProof/>
              </w:rPr>
              <w:t>–</w:t>
            </w:r>
            <w:r w:rsidR="00634EAA">
              <w:rPr>
                <w:b/>
                <w:noProof/>
              </w:rPr>
              <w:t xml:space="preserve"> </w:t>
            </w:r>
            <w:r w:rsidR="002C2D9D">
              <w:rPr>
                <w:b/>
                <w:noProof/>
              </w:rPr>
              <w:t>Prestarea serviciului pentru toti utilizatorii din aria sa de responsabilitate</w:t>
            </w:r>
          </w:p>
        </w:tc>
      </w:tr>
      <w:tr w:rsidR="004D4F4B" w:rsidRPr="00BD3655" w14:paraId="0D3D1A1D" w14:textId="77777777" w:rsidTr="00816E8F">
        <w:tc>
          <w:tcPr>
            <w:tcW w:w="1135" w:type="dxa"/>
            <w:vAlign w:val="center"/>
          </w:tcPr>
          <w:p w14:paraId="06D89002" w14:textId="0D4109D0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.1</w:t>
            </w:r>
          </w:p>
        </w:tc>
        <w:tc>
          <w:tcPr>
            <w:tcW w:w="2933" w:type="dxa"/>
            <w:vAlign w:val="center"/>
          </w:tcPr>
          <w:p w14:paraId="3D194437" w14:textId="7EA321A4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 xml:space="preserve">Eficienta in incheierea Contractelor cu </w:t>
            </w:r>
            <w:r w:rsidR="00AE5AD9">
              <w:rPr>
                <w:b/>
                <w:noProof/>
              </w:rPr>
              <w:t>UAT/ADI ”Regio Kezdi”</w:t>
            </w:r>
          </w:p>
        </w:tc>
        <w:tc>
          <w:tcPr>
            <w:tcW w:w="4387" w:type="dxa"/>
            <w:vAlign w:val="center"/>
          </w:tcPr>
          <w:p w14:paraId="0D5AC142" w14:textId="55C4167C" w:rsidR="004D4F4B" w:rsidRPr="00BD3655" w:rsidRDefault="004D4F4B" w:rsidP="00C669B6">
            <w:pPr>
              <w:rPr>
                <w:b/>
                <w:noProof/>
              </w:rPr>
            </w:pPr>
          </w:p>
        </w:tc>
        <w:tc>
          <w:tcPr>
            <w:tcW w:w="1643" w:type="dxa"/>
            <w:vAlign w:val="center"/>
          </w:tcPr>
          <w:p w14:paraId="6DB4BB32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497E4C2C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13F53D46" w14:textId="77777777" w:rsidTr="00816E8F">
        <w:tc>
          <w:tcPr>
            <w:tcW w:w="1135" w:type="dxa"/>
            <w:vAlign w:val="center"/>
          </w:tcPr>
          <w:p w14:paraId="648BC283" w14:textId="432F21E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0B6C47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</w:t>
            </w:r>
            <w:r w:rsidR="004558B8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60B20024" w14:textId="151CFAC2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Eficienta in imbunatatirea parametrilor de calitate prevazuti in Contract</w:t>
            </w:r>
            <w:r w:rsidR="004558B8">
              <w:rPr>
                <w:b/>
                <w:noProof/>
              </w:rPr>
              <w:t>ul de delegare</w:t>
            </w:r>
          </w:p>
        </w:tc>
        <w:tc>
          <w:tcPr>
            <w:tcW w:w="4387" w:type="dxa"/>
            <w:vAlign w:val="center"/>
          </w:tcPr>
          <w:p w14:paraId="27BC5C24" w14:textId="70398B48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>Numarul de contracte modificate cu privire la i</w:t>
            </w:r>
            <w:r w:rsidR="00E977C4">
              <w:rPr>
                <w:noProof/>
              </w:rPr>
              <w:t>n</w:t>
            </w:r>
            <w:r w:rsidRPr="00BD3655">
              <w:rPr>
                <w:noProof/>
              </w:rPr>
              <w:t>bunatatirile parametrilor de calitate ai activitatii prestate raportat la numarul de cereri justificate de modificare a clauzelor contractuale, pe categorii de activitate</w:t>
            </w:r>
          </w:p>
        </w:tc>
        <w:tc>
          <w:tcPr>
            <w:tcW w:w="1643" w:type="dxa"/>
            <w:vAlign w:val="center"/>
          </w:tcPr>
          <w:p w14:paraId="00279C9C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0AAFC3BF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21824146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423C61D7" w14:textId="6AA131AE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 xml:space="preserve"> </w:t>
            </w:r>
            <w:r w:rsidR="004D10A4">
              <w:rPr>
                <w:b/>
                <w:noProof/>
              </w:rPr>
              <w:t>Continu</w:t>
            </w:r>
            <w:r w:rsidR="00E977C4">
              <w:rPr>
                <w:b/>
                <w:noProof/>
              </w:rPr>
              <w:t>i</w:t>
            </w:r>
            <w:r w:rsidR="004D10A4">
              <w:rPr>
                <w:b/>
                <w:noProof/>
              </w:rPr>
              <w:t>tatea din punct de vedere cantitativ si calitativ, adaptarea permanenta la cerintele utilizatorilor</w:t>
            </w:r>
          </w:p>
        </w:tc>
      </w:tr>
      <w:tr w:rsidR="004D10A4" w:rsidRPr="00BD3655" w14:paraId="01E80C84" w14:textId="77777777" w:rsidTr="00816E8F">
        <w:tc>
          <w:tcPr>
            <w:tcW w:w="1135" w:type="dxa"/>
            <w:shd w:val="clear" w:color="auto" w:fill="FFFFFF" w:themeFill="background1"/>
            <w:vAlign w:val="center"/>
          </w:tcPr>
          <w:p w14:paraId="550B29FF" w14:textId="677AB01C" w:rsidR="004D10A4" w:rsidRPr="00BD3655" w:rsidRDefault="00680384" w:rsidP="00C669B6">
            <w:pPr>
              <w:ind w:left="360"/>
              <w:rPr>
                <w:b/>
                <w:noProof/>
              </w:rPr>
            </w:pPr>
            <w:r>
              <w:rPr>
                <w:b/>
                <w:noProof/>
              </w:rPr>
              <w:t>1.3.</w:t>
            </w:r>
            <w:r w:rsidR="00E977C4">
              <w:rPr>
                <w:b/>
                <w:noProof/>
              </w:rPr>
              <w:t>1</w:t>
            </w:r>
          </w:p>
        </w:tc>
        <w:tc>
          <w:tcPr>
            <w:tcW w:w="2933" w:type="dxa"/>
            <w:shd w:val="clear" w:color="auto" w:fill="FFFFFF" w:themeFill="background1"/>
            <w:vAlign w:val="center"/>
          </w:tcPr>
          <w:p w14:paraId="28570942" w14:textId="14C7E3AF" w:rsidR="004D10A4" w:rsidRPr="00BD3655" w:rsidRDefault="00680384" w:rsidP="00C669B6">
            <w:pPr>
              <w:rPr>
                <w:b/>
                <w:noProof/>
              </w:rPr>
            </w:pPr>
            <w:r>
              <w:rPr>
                <w:b/>
                <w:noProof/>
              </w:rPr>
              <w:t>Numarul de solicitari de imbunatatire a parametrilor de calitate ai activitatii, pe categorii de activitati</w:t>
            </w:r>
          </w:p>
        </w:tc>
        <w:tc>
          <w:tcPr>
            <w:tcW w:w="4387" w:type="dxa"/>
            <w:shd w:val="clear" w:color="auto" w:fill="FFFFFF" w:themeFill="background1"/>
            <w:vAlign w:val="center"/>
          </w:tcPr>
          <w:p w14:paraId="2E0AF8DA" w14:textId="3838BBAF" w:rsidR="004D10A4" w:rsidRPr="00BD3655" w:rsidRDefault="00680384" w:rsidP="00C669B6">
            <w:pPr>
              <w:rPr>
                <w:noProof/>
              </w:rPr>
            </w:pPr>
            <w:r w:rsidRPr="00BD3655">
              <w:rPr>
                <w:noProof/>
              </w:rPr>
              <w:t xml:space="preserve">Numarul de </w:t>
            </w:r>
            <w:r>
              <w:rPr>
                <w:noProof/>
              </w:rPr>
              <w:t>solicitati</w:t>
            </w:r>
            <w:r w:rsidRPr="00BD3655">
              <w:rPr>
                <w:noProof/>
              </w:rPr>
              <w:t xml:space="preserve"> scrise la care Operatorul a raspuns in 30 de zile de la data primirii reclamației, raportat la numarul total de reclamatii scrise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14:paraId="75F98ECC" w14:textId="116F5909" w:rsidR="004D10A4" w:rsidRPr="00BD3655" w:rsidRDefault="00680384" w:rsidP="00C669B6">
            <w:pPr>
              <w:ind w:left="36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100%</w:t>
            </w:r>
          </w:p>
        </w:tc>
      </w:tr>
      <w:tr w:rsidR="004D4F4B" w:rsidRPr="00BD3655" w14:paraId="31F51BB8" w14:textId="77777777" w:rsidTr="00816E8F">
        <w:tc>
          <w:tcPr>
            <w:tcW w:w="1135" w:type="dxa"/>
            <w:vAlign w:val="center"/>
          </w:tcPr>
          <w:p w14:paraId="05E0AE9D" w14:textId="1C89E269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179772C3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la care s-a raspuns</w:t>
            </w:r>
          </w:p>
        </w:tc>
        <w:tc>
          <w:tcPr>
            <w:tcW w:w="4387" w:type="dxa"/>
            <w:vAlign w:val="center"/>
          </w:tcPr>
          <w:p w14:paraId="281A5F62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la care Operatorul a raspuns in 30 de zile de la </w:t>
            </w:r>
            <w:r w:rsidRPr="00BD3655">
              <w:rPr>
                <w:noProof/>
              </w:rPr>
              <w:lastRenderedPageBreak/>
              <w:t>data primirii reclamației, raportat la numarul total de reclamatii scrise</w:t>
            </w:r>
          </w:p>
        </w:tc>
        <w:tc>
          <w:tcPr>
            <w:tcW w:w="1643" w:type="dxa"/>
            <w:vAlign w:val="center"/>
          </w:tcPr>
          <w:p w14:paraId="16CA0374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lastRenderedPageBreak/>
              <w:t>100 %</w:t>
            </w:r>
          </w:p>
          <w:p w14:paraId="5EF32C3D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545937C0" w14:textId="77777777" w:rsidTr="00816E8F">
        <w:tc>
          <w:tcPr>
            <w:tcW w:w="1135" w:type="dxa"/>
            <w:vAlign w:val="center"/>
          </w:tcPr>
          <w:p w14:paraId="2335297A" w14:textId="7F6E462A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3</w:t>
            </w:r>
          </w:p>
        </w:tc>
        <w:tc>
          <w:tcPr>
            <w:tcW w:w="2933" w:type="dxa"/>
            <w:vAlign w:val="center"/>
          </w:tcPr>
          <w:p w14:paraId="4984F9AC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justificate (care au primit o soluție definitiva si irevocabila favorabila reclamantului)</w:t>
            </w:r>
          </w:p>
        </w:tc>
        <w:tc>
          <w:tcPr>
            <w:tcW w:w="4387" w:type="dxa"/>
            <w:vAlign w:val="center"/>
          </w:tcPr>
          <w:p w14:paraId="0D6B18D9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justificate raportat la numarul total de utilizatori, pe categori de utilizatori </w:t>
            </w:r>
          </w:p>
        </w:tc>
        <w:tc>
          <w:tcPr>
            <w:tcW w:w="1643" w:type="dxa"/>
            <w:vAlign w:val="center"/>
          </w:tcPr>
          <w:p w14:paraId="60A4FCBF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348102E7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</w:tbl>
    <w:p w14:paraId="320D2B31" w14:textId="77777777" w:rsidR="004D4F4B" w:rsidRPr="00816E8F" w:rsidRDefault="004D4F4B" w:rsidP="004D4F4B">
      <w:pPr>
        <w:rPr>
          <w:lang w:val="ro-RO" w:eastAsia="ro-RO"/>
        </w:rPr>
      </w:pPr>
    </w:p>
    <w:p w14:paraId="3E3ED057" w14:textId="77777777" w:rsidR="004D4F4B" w:rsidRPr="00816E8F" w:rsidRDefault="004D4F4B" w:rsidP="004D4F4B">
      <w:pPr>
        <w:rPr>
          <w:lang w:val="ro-RO" w:eastAsia="ro-RO"/>
        </w:rPr>
      </w:pPr>
    </w:p>
    <w:p w14:paraId="0ACB75C5" w14:textId="77777777" w:rsidR="004D4F4B" w:rsidRPr="00816E8F" w:rsidRDefault="004D4F4B" w:rsidP="004D4F4B">
      <w:pPr>
        <w:rPr>
          <w:rStyle w:val="tpa1"/>
          <w:sz w:val="16"/>
          <w:szCs w:val="16"/>
        </w:rPr>
      </w:pPr>
    </w:p>
    <w:p w14:paraId="3A71CA14" w14:textId="77777777" w:rsidR="004D4F4B" w:rsidRPr="00816E8F" w:rsidRDefault="004D4F4B" w:rsidP="004D4F4B">
      <w:pPr>
        <w:rPr>
          <w:sz w:val="16"/>
          <w:szCs w:val="16"/>
        </w:rPr>
        <w:sectPr w:rsidR="004D4F4B" w:rsidRPr="00816E8F" w:rsidSect="00BD3655">
          <w:headerReference w:type="even" r:id="rId7"/>
          <w:footerReference w:type="default" r:id="rId8"/>
          <w:pgSz w:w="12240" w:h="15840"/>
          <w:pgMar w:top="902" w:right="1077" w:bottom="1418" w:left="1418" w:header="708" w:footer="708" w:gutter="0"/>
          <w:cols w:space="708"/>
          <w:noEndnote/>
          <w:docGrid w:linePitch="326"/>
        </w:sectPr>
      </w:pPr>
    </w:p>
    <w:p w14:paraId="3A622DFE" w14:textId="2722A644" w:rsidR="004D4F4B" w:rsidRPr="00816E8F" w:rsidRDefault="004D4F4B" w:rsidP="004D4F4B">
      <w:pPr>
        <w:rPr>
          <w:b/>
          <w:bCs/>
        </w:rPr>
      </w:pPr>
      <w:r w:rsidRPr="00816E8F">
        <w:rPr>
          <w:b/>
          <w:bCs/>
        </w:rPr>
        <w:lastRenderedPageBreak/>
        <w:t xml:space="preserve">ANEXA </w:t>
      </w:r>
      <w:r w:rsidR="00FD5FD6">
        <w:rPr>
          <w:b/>
          <w:bCs/>
        </w:rPr>
        <w:t xml:space="preserve">NR. </w:t>
      </w:r>
      <w:r w:rsidR="00BE7814">
        <w:rPr>
          <w:b/>
          <w:bCs/>
        </w:rPr>
        <w:t>5</w:t>
      </w:r>
      <w:r w:rsidR="00B16778">
        <w:rPr>
          <w:b/>
          <w:bCs/>
        </w:rPr>
        <w:t>.2.</w:t>
      </w:r>
    </w:p>
    <w:p w14:paraId="638B431C" w14:textId="77777777" w:rsidR="004D4F4B" w:rsidRPr="005D6878" w:rsidRDefault="004D4F4B" w:rsidP="004D4F4B">
      <w:pPr>
        <w:rPr>
          <w:b/>
          <w:bCs/>
        </w:rPr>
      </w:pPr>
    </w:p>
    <w:p w14:paraId="709A8134" w14:textId="77777777" w:rsidR="004D4F4B" w:rsidRPr="005D6878" w:rsidRDefault="004D4F4B" w:rsidP="004D4F4B">
      <w:pPr>
        <w:rPr>
          <w:b/>
          <w:bCs/>
          <w:lang w:val="pt-PT"/>
        </w:rPr>
      </w:pPr>
      <w:r w:rsidRPr="005D6878">
        <w:rPr>
          <w:b/>
          <w:bCs/>
        </w:rPr>
        <w:t>CONTRAVENȚII ÎN DOMENIUL SERVICIULUI DE SALUBRIZARE PENTRU OPERATORI</w:t>
      </w:r>
      <w:r w:rsidRPr="005D6878">
        <w:rPr>
          <w:b/>
          <w:bCs/>
          <w:lang w:val="pt-PT"/>
        </w:rPr>
        <w:t xml:space="preserve">I DE SALUBRITATE, PENTRU </w:t>
      </w:r>
      <w:r w:rsidRPr="005D6878">
        <w:rPr>
          <w:b/>
          <w:bCs/>
        </w:rPr>
        <w:t>UTILIZATORI ŞI CUANTUMUL AMENZILOR APLICATE</w:t>
      </w:r>
    </w:p>
    <w:p w14:paraId="725BA7A4" w14:textId="77777777" w:rsidR="004D4F4B" w:rsidRPr="005D6878" w:rsidRDefault="004D4F4B" w:rsidP="004D4F4B">
      <w:pPr>
        <w:rPr>
          <w:lang w:val="pt-PT"/>
        </w:rPr>
      </w:pPr>
    </w:p>
    <w:tbl>
      <w:tblPr>
        <w:tblpPr w:leftFromText="180" w:rightFromText="180" w:vertAnchor="text" w:horzAnchor="margin" w:tblpY="242"/>
        <w:tblW w:w="4947" w:type="pct"/>
        <w:tblLayout w:type="fixed"/>
        <w:tblLook w:val="04A0" w:firstRow="1" w:lastRow="0" w:firstColumn="1" w:lastColumn="0" w:noHBand="0" w:noVBand="1"/>
      </w:tblPr>
      <w:tblGrid>
        <w:gridCol w:w="880"/>
        <w:gridCol w:w="5954"/>
        <w:gridCol w:w="1081"/>
        <w:gridCol w:w="1336"/>
      </w:tblGrid>
      <w:tr w:rsidR="004D4F4B" w:rsidRPr="005D6878" w14:paraId="7697E02B" w14:textId="77777777" w:rsidTr="00CB4667">
        <w:trPr>
          <w:trHeight w:val="5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413B333E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Nr. crt.</w:t>
            </w:r>
          </w:p>
        </w:tc>
        <w:tc>
          <w:tcPr>
            <w:tcW w:w="321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8DB3E2"/>
            <w:vAlign w:val="center"/>
          </w:tcPr>
          <w:p w14:paraId="1729A452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Descrierea faptei care intra sub incidenţa sancţiuni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391AC9D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>Cuantumul amenzii</w:t>
            </w:r>
          </w:p>
        </w:tc>
      </w:tr>
      <w:tr w:rsidR="005166C1" w:rsidRPr="005D6878" w14:paraId="269410AC" w14:textId="77777777" w:rsidTr="00CB4667">
        <w:trPr>
          <w:trHeight w:val="643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3B7FC95B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3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/>
            <w:vAlign w:val="center"/>
          </w:tcPr>
          <w:p w14:paraId="305C8C17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85F9998" w14:textId="02A8C90E" w:rsidR="005166C1" w:rsidRPr="005D6878" w:rsidRDefault="005166C1" w:rsidP="00C669B6">
            <w:pPr>
              <w:spacing w:before="120" w:after="120"/>
              <w:jc w:val="both"/>
              <w:rPr>
                <w:b/>
                <w:bCs/>
              </w:rPr>
            </w:pPr>
          </w:p>
        </w:tc>
      </w:tr>
      <w:tr w:rsidR="005166C1" w:rsidRPr="005D6878" w14:paraId="35EAACB7" w14:textId="77777777" w:rsidTr="005166C1">
        <w:trPr>
          <w:trHeight w:val="2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90CAA36" w14:textId="7243B421" w:rsidR="005166C1" w:rsidRPr="005D6878" w:rsidRDefault="005166C1" w:rsidP="005166C1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r w:rsidRPr="005D6878">
              <w:rPr>
                <w:b/>
                <w:bCs/>
                <w:i/>
                <w:iCs/>
              </w:rPr>
              <w:t>Sancţiuni pentru operatorii serviciilor de salubrizare</w:t>
            </w:r>
          </w:p>
        </w:tc>
      </w:tr>
      <w:tr w:rsidR="005166C1" w:rsidRPr="005D6878" w14:paraId="5E007ED1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ACD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29A93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 xml:space="preserve">Refuzul operatorului de a pune la dispoziţia autorităţii publice locale datele şi informaţiile solicitate sau furnizarea incorecta şi incompleta de date </w:t>
            </w:r>
            <w:proofErr w:type="gramStart"/>
            <w:r w:rsidRPr="005D6878">
              <w:t>şi  informaţii</w:t>
            </w:r>
            <w:proofErr w:type="gramEnd"/>
            <w:r w:rsidRPr="005D6878">
              <w:t xml:space="preserve"> necesare desfăşurării activității acesteia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9F21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FB92D02" w14:textId="270419DB" w:rsidR="005166C1" w:rsidRPr="00635718" w:rsidRDefault="005166C1" w:rsidP="00C669B6">
            <w:pPr>
              <w:spacing w:before="120" w:after="120"/>
              <w:jc w:val="both"/>
            </w:pPr>
            <w:proofErr w:type="gramStart"/>
            <w:r w:rsidRPr="00635718">
              <w:t>CF.Legii</w:t>
            </w:r>
            <w:proofErr w:type="gramEnd"/>
            <w:r>
              <w:t xml:space="preserve"> nr. 51/2006 </w:t>
            </w:r>
          </w:p>
        </w:tc>
      </w:tr>
      <w:tr w:rsidR="005166C1" w:rsidRPr="005D6878" w14:paraId="730FED2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F0A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59FD1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Furnizarea/Prestarea serviciului de salubrizare în afara parametrilor tehnici cantitativi şi/sau calitativi adoptați prin contractul de delegare a gestiunii şi a prezentului Regulament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7920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22676164" w14:textId="0530F0FB" w:rsidR="005166C1" w:rsidRPr="00635718" w:rsidRDefault="005166C1" w:rsidP="00C669B6">
            <w:pPr>
              <w:spacing w:before="120" w:after="120"/>
              <w:jc w:val="both"/>
            </w:pPr>
            <w:r>
              <w:t>Cf Legii nr. 51/2006</w:t>
            </w:r>
          </w:p>
        </w:tc>
      </w:tr>
      <w:tr w:rsidR="005166C1" w:rsidRPr="005D6878" w14:paraId="4451168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CBDC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3BA225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Neaplicarea masurilor stabilite cu ocazia activităților de control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EA63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8C6239D" w14:textId="603533FA" w:rsidR="005166C1" w:rsidRPr="00635718" w:rsidRDefault="005166C1" w:rsidP="00C669B6">
            <w:pPr>
              <w:spacing w:before="120" w:after="120"/>
              <w:jc w:val="both"/>
            </w:pPr>
            <w:r>
              <w:t>Cf. Legii nr. 51/2006</w:t>
            </w:r>
          </w:p>
        </w:tc>
      </w:tr>
      <w:tr w:rsidR="00132984" w:rsidRPr="005D6878" w14:paraId="25FD517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EA5B" w14:textId="77777777" w:rsidR="00132984" w:rsidRPr="005D6878" w:rsidRDefault="00132984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BA52F" w14:textId="04EC8539" w:rsidR="00132984" w:rsidRPr="005D6878" w:rsidRDefault="00132984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Încălcarea de către operatori a prevederilor reglementărilor tehnice şi/sau comerciale, inclusiv a reglementărilor-cadru ale serviciilor de utilităţi publice stabilite de autorităţile de reglementare competente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1B55" w14:textId="07BB77CB" w:rsidR="00132984" w:rsidRPr="00635718" w:rsidRDefault="00132984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 w:rsidR="00EC695C">
              <w:rPr>
                <w:bCs/>
              </w:rPr>
              <w:t xml:space="preserve"> nr. 101/2006</w:t>
            </w:r>
            <w:r>
              <w:rPr>
                <w:bCs/>
              </w:rPr>
              <w:t>/ Cheltuielile cu contribi</w:t>
            </w:r>
            <w:r w:rsidR="004D7EA7">
              <w:rPr>
                <w:bCs/>
              </w:rPr>
              <w:t>ț</w:t>
            </w:r>
            <w:r>
              <w:rPr>
                <w:bCs/>
              </w:rPr>
              <w:t>ia pentru economia circular</w:t>
            </w:r>
            <w:r w:rsidR="004D7EA7">
              <w:rPr>
                <w:bCs/>
              </w:rPr>
              <w:t>ă</w:t>
            </w:r>
            <w:r>
              <w:rPr>
                <w:bCs/>
              </w:rPr>
              <w:t xml:space="preserve"> pentru 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>ile de de</w:t>
            </w:r>
            <w:r w:rsidR="004D7EA7">
              <w:rPr>
                <w:bCs/>
              </w:rPr>
              <w:t>ș</w:t>
            </w:r>
            <w:r>
              <w:rPr>
                <w:bCs/>
              </w:rPr>
              <w:t>euri municipale</w:t>
            </w:r>
            <w:r w:rsidR="005627D8">
              <w:rPr>
                <w:bCs/>
              </w:rPr>
              <w:t xml:space="preserve"> destinate a fi depozitate care depasesc</w:t>
            </w:r>
            <w:r>
              <w:rPr>
                <w:bCs/>
              </w:rPr>
              <w:t xml:space="preserve"> 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 xml:space="preserve">ile </w:t>
            </w:r>
            <w:r w:rsidR="005627D8">
              <w:rPr>
                <w:bCs/>
              </w:rPr>
              <w:t>corespunz</w:t>
            </w:r>
            <w:r w:rsidR="004D7EA7">
              <w:rPr>
                <w:bCs/>
              </w:rPr>
              <w:t>ă</w:t>
            </w:r>
            <w:r w:rsidR="005627D8">
              <w:rPr>
                <w:bCs/>
              </w:rPr>
              <w:t>toare i</w:t>
            </w:r>
            <w:r>
              <w:rPr>
                <w:bCs/>
              </w:rPr>
              <w:t>ndicatori</w:t>
            </w:r>
            <w:r w:rsidR="005627D8">
              <w:rPr>
                <w:bCs/>
              </w:rPr>
              <w:t>lor</w:t>
            </w:r>
            <w:r>
              <w:rPr>
                <w:bCs/>
              </w:rPr>
              <w:t xml:space="preserve"> de performan</w:t>
            </w:r>
            <w:r w:rsidR="004D7EA7">
              <w:rPr>
                <w:bCs/>
              </w:rPr>
              <w:t>ță</w:t>
            </w:r>
            <w:r w:rsidR="005627D8">
              <w:rPr>
                <w:bCs/>
              </w:rPr>
              <w:t xml:space="preserve"> prevăz</w:t>
            </w:r>
            <w:r w:rsidR="004D7EA7">
              <w:rPr>
                <w:bCs/>
              </w:rPr>
              <w:t>u</w:t>
            </w:r>
            <w:r w:rsidR="005627D8">
              <w:rPr>
                <w:bCs/>
              </w:rPr>
              <w:t>te</w:t>
            </w:r>
            <w:r w:rsidR="004D7EA7">
              <w:rPr>
                <w:bCs/>
              </w:rPr>
              <w:t>, inclusiv cheltuielile aferente cu depozitarea acestor deșeuri</w:t>
            </w:r>
          </w:p>
        </w:tc>
      </w:tr>
      <w:tr w:rsidR="005166C1" w:rsidRPr="005D6878" w14:paraId="232EFB39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33D6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656AB7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 xml:space="preserve">Refuzul operatorilor de a se supune controlului şi de a permite verificările şi inspecţiile prevăzute prin reglementări sau dispuse de autoritatea de reglementare competentă, </w:t>
            </w:r>
            <w:r w:rsidRPr="005D6878">
              <w:rPr>
                <w:bCs/>
              </w:rPr>
              <w:lastRenderedPageBreak/>
              <w:t>precum şi obstrucţionarea acesteia în îndeplinirea atribuţiilor sale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658" w14:textId="4100C95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lastRenderedPageBreak/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4384B5C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7799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103C5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Furnizarea/prestarea serviciilor de utilităţi publice de către operatorii fără licenţă eliberată potrivit prevederilor legii sau cu licenţă a cărei valabilitate a expirat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A1B4" w14:textId="4A36F9A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18C92B5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E18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6B374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Nerespectarea de către operatori a normelor privind protecţia igienei publice şi a sănătăţii populaţiei, a mediului de viaţă al populaţiei şi a mediului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DCE3" w14:textId="4A619869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7E29AA3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03F8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60F3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  <w:lang w:val="pt-PT"/>
              </w:rPr>
            </w:pPr>
            <w:r w:rsidRPr="005D6878">
              <w:rPr>
                <w:bCs/>
                <w:lang w:val="pt-PT"/>
              </w:rPr>
              <w:t>Sistarea nejustificată a serviciului sau refuzul de a relua activitatea după achitarea la zi a debitelor restante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9E95" w14:textId="578DC715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4E65446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374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BA2DD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Nerespectarea fluxului deșeurilor indicat de autoritatea locala/contractantă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C401" w14:textId="06A6D609" w:rsidR="005166C1" w:rsidRPr="00635718" w:rsidRDefault="005166C1" w:rsidP="00C669B6">
            <w:pPr>
              <w:spacing w:before="120" w:after="120"/>
              <w:jc w:val="both"/>
            </w:pPr>
            <w:r w:rsidRPr="00635718">
              <w:rPr>
                <w:bCs/>
              </w:rPr>
              <w:t>Cf Legii</w:t>
            </w:r>
            <w:r>
              <w:rPr>
                <w:bCs/>
              </w:rPr>
              <w:t xml:space="preserve"> nr. 92/2021</w:t>
            </w:r>
          </w:p>
        </w:tc>
      </w:tr>
      <w:tr w:rsidR="003138DD" w:rsidRPr="005D6878" w14:paraId="202D614C" w14:textId="77777777" w:rsidTr="00CB4667">
        <w:trPr>
          <w:trHeight w:val="52"/>
        </w:trPr>
        <w:tc>
          <w:tcPr>
            <w:tcW w:w="36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2D6EA2D" w14:textId="19F87432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 w:rsidRPr="005D6878">
              <w:rPr>
                <w:b/>
                <w:i/>
              </w:rPr>
              <w:t> Sancţiuni pentru utilizatorii serviciilor de salubrizare</w:t>
            </w:r>
            <w:r>
              <w:rPr>
                <w:b/>
                <w:i/>
              </w:rPr>
              <w:t xml:space="preserve">                       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33BC94A" w14:textId="6B8E6659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Pers. fizice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</w:tcPr>
          <w:p w14:paraId="27A5D6C7" w14:textId="29FA072A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Pers juridice</w:t>
            </w:r>
          </w:p>
        </w:tc>
      </w:tr>
      <w:tr w:rsidR="004D4F4B" w:rsidRPr="005D6878" w14:paraId="41C35DC8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F7F0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FD61EA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Neasigurarea sau obstrucționarea/blocarea cailor de acces către platformele de colectare pentru mijloacele de transport ale operatorilor.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42E5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32D1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500- 1.000</w:t>
            </w:r>
          </w:p>
        </w:tc>
      </w:tr>
      <w:tr w:rsidR="004D4F4B" w:rsidRPr="005D6878" w14:paraId="0424429A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A409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2EDA11" w14:textId="65FF0A23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Depozitarea materialelor de construcții</w:t>
            </w:r>
            <w:r w:rsidR="00CB4667">
              <w:rPr>
                <w:bCs/>
              </w:rPr>
              <w:t>/alte obiecte</w:t>
            </w:r>
            <w:r w:rsidRPr="005D6878">
              <w:rPr>
                <w:bCs/>
              </w:rPr>
              <w:t xml:space="preserve"> pe domeniul public sau privat al localității, fără aprobarea prealabila </w:t>
            </w:r>
            <w:proofErr w:type="gramStart"/>
            <w:r w:rsidRPr="005D6878">
              <w:rPr>
                <w:bCs/>
              </w:rPr>
              <w:t>a</w:t>
            </w:r>
            <w:proofErr w:type="gramEnd"/>
            <w:r w:rsidRPr="005D6878">
              <w:rPr>
                <w:bCs/>
              </w:rPr>
              <w:t xml:space="preserve"> administraţiei publice locale</w:t>
            </w:r>
            <w:r w:rsidR="00CB4667">
              <w:rPr>
                <w:bCs/>
              </w:rPr>
              <w:t>, care obstrucționează efectuarea activităților operatorului</w:t>
            </w:r>
            <w:r w:rsidRPr="005D6878">
              <w:rPr>
                <w:bCs/>
              </w:rPr>
              <w:t>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8E1F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500-1000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3433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1.000-2.000</w:t>
            </w:r>
          </w:p>
        </w:tc>
      </w:tr>
      <w:tr w:rsidR="004D4F4B" w:rsidRPr="005D6878" w14:paraId="2A13A79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B8A7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7CD0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 xml:space="preserve">Utilizarea recipientelor pentru deşeuri reciclabile în alte scopuri decât cele pentru care sunt destinate.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C189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9AD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500-2.000</w:t>
            </w:r>
          </w:p>
        </w:tc>
      </w:tr>
    </w:tbl>
    <w:p w14:paraId="6BACEE4F" w14:textId="77777777" w:rsidR="004D4F4B" w:rsidRPr="00417E37" w:rsidRDefault="004D4F4B" w:rsidP="004D4F4B"/>
    <w:p w14:paraId="643F4854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AC6B3A0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3E5FDA7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E41D4C7" w14:textId="77777777" w:rsidR="001503C3" w:rsidRDefault="001503C3"/>
    <w:sectPr w:rsidR="00150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F52A9" w14:textId="77777777" w:rsidR="0000187A" w:rsidRDefault="0000187A">
      <w:r>
        <w:separator/>
      </w:r>
    </w:p>
  </w:endnote>
  <w:endnote w:type="continuationSeparator" w:id="0">
    <w:p w14:paraId="7525E1CE" w14:textId="77777777" w:rsidR="0000187A" w:rsidRDefault="0000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vice Font 10cp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7530"/>
      <w:docPartObj>
        <w:docPartGallery w:val="Page Numbers (Bottom of Page)"/>
        <w:docPartUnique/>
      </w:docPartObj>
    </w:sdtPr>
    <w:sdtEndPr/>
    <w:sdtContent>
      <w:p w14:paraId="3DE25C16" w14:textId="77777777" w:rsidR="003138DD" w:rsidRDefault="00FD5F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2FF3979A" w14:textId="77777777" w:rsidR="003138DD" w:rsidRDefault="00313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970B4" w14:textId="77777777" w:rsidR="0000187A" w:rsidRDefault="0000187A">
      <w:r>
        <w:separator/>
      </w:r>
    </w:p>
  </w:footnote>
  <w:footnote w:type="continuationSeparator" w:id="0">
    <w:p w14:paraId="415D899F" w14:textId="77777777" w:rsidR="0000187A" w:rsidRDefault="0000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EBAE" w14:textId="77777777" w:rsidR="003138DD" w:rsidRDefault="003138DD" w:rsidP="004D4F4B">
    <w:pPr>
      <w:widowControl/>
      <w:numPr>
        <w:ilvl w:val="0"/>
        <w:numId w:val="1"/>
      </w:numPr>
      <w:suppressAutoHyphens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D03F7"/>
    <w:multiLevelType w:val="hybridMultilevel"/>
    <w:tmpl w:val="A5449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D2CE0"/>
    <w:multiLevelType w:val="multilevel"/>
    <w:tmpl w:val="502E526A"/>
    <w:lvl w:ilvl="0">
      <w:start w:val="1"/>
      <w:numFmt w:val="decimal"/>
      <w:lvlText w:val="Art.%1."/>
      <w:lvlJc w:val="left"/>
      <w:rPr>
        <w:rFonts w:ascii="Times New (W1)" w:hAnsi="Times New (W1)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(%2)"/>
      <w:lvlJc w:val="left"/>
      <w:pPr>
        <w:tabs>
          <w:tab w:val="num" w:pos="1260"/>
        </w:tabs>
        <w:ind w:left="191" w:firstLine="709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4"/>
      <w:lvlJc w:val="left"/>
      <w:pPr>
        <w:tabs>
          <w:tab w:val="num" w:pos="1948"/>
        </w:tabs>
        <w:ind w:left="0" w:firstLine="1247"/>
      </w:pPr>
      <w:rPr>
        <w:rFonts w:hint="default"/>
        <w:b w:val="0"/>
        <w:i w:val="0"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num" w:pos="1871"/>
        </w:tabs>
        <w:ind w:left="1008" w:firstLine="693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Restart w:val="1"/>
      <w:lvlText w:val="%1.%6)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75F47AA"/>
    <w:multiLevelType w:val="hybridMultilevel"/>
    <w:tmpl w:val="18C8FD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4B"/>
    <w:rsid w:val="0000187A"/>
    <w:rsid w:val="000B6C47"/>
    <w:rsid w:val="000E31B4"/>
    <w:rsid w:val="00132984"/>
    <w:rsid w:val="001503C3"/>
    <w:rsid w:val="00191795"/>
    <w:rsid w:val="001A286B"/>
    <w:rsid w:val="001B0FFD"/>
    <w:rsid w:val="001E4DDC"/>
    <w:rsid w:val="002C2D9D"/>
    <w:rsid w:val="003129D9"/>
    <w:rsid w:val="003138DD"/>
    <w:rsid w:val="004558B8"/>
    <w:rsid w:val="00497BA3"/>
    <w:rsid w:val="004D10A4"/>
    <w:rsid w:val="004D4F4B"/>
    <w:rsid w:val="004D7EA7"/>
    <w:rsid w:val="005166C1"/>
    <w:rsid w:val="005627D8"/>
    <w:rsid w:val="00634EAA"/>
    <w:rsid w:val="00661DFB"/>
    <w:rsid w:val="00680384"/>
    <w:rsid w:val="00744C9F"/>
    <w:rsid w:val="00816E8F"/>
    <w:rsid w:val="00914775"/>
    <w:rsid w:val="00AE5AD9"/>
    <w:rsid w:val="00AF3D05"/>
    <w:rsid w:val="00B16778"/>
    <w:rsid w:val="00BA1B5C"/>
    <w:rsid w:val="00BC3267"/>
    <w:rsid w:val="00BE7814"/>
    <w:rsid w:val="00BF15A1"/>
    <w:rsid w:val="00C768F3"/>
    <w:rsid w:val="00C90BE9"/>
    <w:rsid w:val="00CB4667"/>
    <w:rsid w:val="00E977C4"/>
    <w:rsid w:val="00EC695C"/>
    <w:rsid w:val="00F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595AF"/>
  <w15:chartTrackingRefBased/>
  <w15:docId w15:val="{425CD3FC-FEFE-4A7F-AB9C-A5CAD751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F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4D4F4B"/>
    <w:pPr>
      <w:widowControl/>
      <w:tabs>
        <w:tab w:val="num" w:pos="992"/>
      </w:tabs>
      <w:suppressAutoHyphens w:val="0"/>
      <w:spacing w:before="240" w:after="60"/>
      <w:ind w:left="-709" w:firstLine="709"/>
      <w:outlineLvl w:val="4"/>
    </w:pPr>
    <w:rPr>
      <w:rFonts w:eastAsia="Times New Roman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D4F4B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D4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F4B"/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character" w:customStyle="1" w:styleId="tpa1">
    <w:name w:val="tpa1"/>
    <w:basedOn w:val="DefaultParagraphFont"/>
    <w:rsid w:val="004D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Keresztes Zsuzsa</dc:creator>
  <cp:keywords/>
  <dc:description/>
  <cp:lastModifiedBy>Gospcom Juridic</cp:lastModifiedBy>
  <cp:revision>34</cp:revision>
  <dcterms:created xsi:type="dcterms:W3CDTF">2023-07-07T07:36:00Z</dcterms:created>
  <dcterms:modified xsi:type="dcterms:W3CDTF">2023-10-26T12:17:00Z</dcterms:modified>
</cp:coreProperties>
</file>